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media/rId45.png" ContentType="image/png"/>
  <Override PartName="/word/media/image2.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9" w:name="X4dd0093b59efb7365190dab88dcd24d9ad411dc"/>
    <w:p>
      <w:pPr>
        <w:pStyle w:val="Heading1"/>
      </w:pPr>
      <w:r>
        <w:t xml:space="preserve">Piano SAR Completo per Traversata Est-Ovest del Sahara lungo il Parallelo 23.026°N</w:t>
      </w:r>
    </w:p>
    <w:bookmarkStart w:id="35" w:name="executive-summary"/>
    <w:p>
      <w:pPr>
        <w:pStyle w:val="Heading2"/>
      </w:pPr>
      <w:r>
        <w:t xml:space="preserve">Executive Summary</w:t>
      </w:r>
    </w:p>
    <w:p>
      <w:pPr>
        <w:pStyle w:val="FirstParagraph"/>
      </w:pPr>
      <w:r>
        <w:t xml:space="preserve">La traversata est-ovest del Sahara lungo il parallelo 23.026°N presenta gap di copertura SAR critici che rendono il convoglio irraggiungibile da elicotteri di soccorso per tratti superiori a 600 km, concentrati tra Bardai (Ciad) e Kufra (Libia), nel Mali settentrionale fino alla Mauritania orientale, e parzialmente tra Djanet e il Tibesti. Lungo i circa 5.500 km di rotta attraverso otto paesi/territori — Egitto, Libia, Ciad, Niger, Algeria, Mali, Mauritania e Sahara Occidentale — sono state identificate solo 12 strutture aeroportuali utilizzabili entro 300 km, distribuite in modo fortemente disomogeneo [</w:t>
      </w:r>
      <w:hyperlink r:id="rId22">
        <w:r>
          <w:rPr>
            <w:rStyle w:val="Hyperlink"/>
          </w:rPr>
          <w:t xml:space="preserve">1</w:t>
        </w:r>
      </w:hyperlink>
      <w:r>
        <w:t xml:space="preserve">,</w:t>
      </w:r>
      <w:r>
        <w:t xml:space="preserve"> </w:t>
      </w:r>
      <w:hyperlink r:id="rId23">
        <w:r>
          <w:rPr>
            <w:rStyle w:val="Hyperlink"/>
          </w:rPr>
          <w:t xml:space="preserve">2</w:t>
        </w:r>
      </w:hyperlink>
      <w:r>
        <w:t xml:space="preserve">,</w:t>
      </w:r>
      <w:r>
        <w:t xml:space="preserve"> </w:t>
      </w:r>
      <w:hyperlink r:id="rId24">
        <w:r>
          <w:rPr>
            <w:rStyle w:val="Hyperlink"/>
          </w:rPr>
          <w:t xml:space="preserve">3</w:t>
        </w:r>
      </w:hyperlink>
      <w:r>
        <w:t xml:space="preserve">,</w:t>
      </w:r>
      <w:r>
        <w:t xml:space="preserve"> </w:t>
      </w:r>
      <w:hyperlink r:id="rId25">
        <w:r>
          <w:rPr>
            <w:rStyle w:val="Hyperlink"/>
          </w:rPr>
          <w:t xml:space="preserve">4</w:t>
        </w:r>
      </w:hyperlink>
      <w:r>
        <w:t xml:space="preserve">,</w:t>
      </w:r>
      <w:r>
        <w:t xml:space="preserve"> </w:t>
      </w:r>
      <w:hyperlink r:id="rId26">
        <w:r>
          <w:rPr>
            <w:rStyle w:val="Hyperlink"/>
          </w:rPr>
          <w:t xml:space="preserve">5</w:t>
        </w:r>
      </w:hyperlink>
      <w:r>
        <w:t xml:space="preserve">,</w:t>
      </w:r>
      <w:r>
        <w:t xml:space="preserve"> </w:t>
      </w:r>
      <w:hyperlink r:id="rId27">
        <w:r>
          <w:rPr>
            <w:rStyle w:val="Hyperlink"/>
          </w:rPr>
          <w:t xml:space="preserve">6</w:t>
        </w:r>
      </w:hyperlink>
      <w:r>
        <w:t xml:space="preserve">,</w:t>
      </w:r>
      <w:r>
        <w:t xml:space="preserve"> </w:t>
      </w:r>
      <w:hyperlink r:id="rId28">
        <w:r>
          <w:rPr>
            <w:rStyle w:val="Hyperlink"/>
          </w:rPr>
          <w:t xml:space="preserve">7</w:t>
        </w:r>
      </w:hyperlink>
      <w:r>
        <w:t xml:space="preserve">,</w:t>
      </w:r>
      <w:r>
        <w:t xml:space="preserve"> </w:t>
      </w:r>
      <w:hyperlink r:id="rId29">
        <w:r>
          <w:rPr>
            <w:rStyle w:val="Hyperlink"/>
          </w:rPr>
          <w:t xml:space="preserve">8</w:t>
        </w:r>
      </w:hyperlink>
      <w:r>
        <w:t xml:space="preserve">,</w:t>
      </w:r>
      <w:r>
        <w:t xml:space="preserve"> </w:t>
      </w:r>
      <w:hyperlink r:id="rId30">
        <w:r>
          <w:rPr>
            <w:rStyle w:val="Hyperlink"/>
          </w:rPr>
          <w:t xml:space="preserve">9</w:t>
        </w:r>
      </w:hyperlink>
      <w:r>
        <w:t xml:space="preserve">].</w:t>
      </w:r>
    </w:p>
    <w:p>
      <w:pPr>
        <w:pStyle w:val="BodyText"/>
      </w:pPr>
      <w:r>
        <w:t xml:space="preserve">La capacità SAR effettiva è concentrata quasi esclusivamente in Egitto e Algeria: l’Algeria dispone di oltre 100 elicotteri Mi-8/Mi-17 con ruolo SAR dedicato e la base di Tamanrasset come hub meridionale [</w:t>
      </w:r>
      <w:hyperlink r:id="rId28">
        <w:r>
          <w:rPr>
            <w:rStyle w:val="Hyperlink"/>
          </w:rPr>
          <w:t xml:space="preserve">7</w:t>
        </w:r>
      </w:hyperlink>
      <w:r>
        <w:t xml:space="preserve">], mentre negli altri paesi le risorse sono minime o degradate da conflitti attivi. Il ritiro delle forze francesi (Barkhane, 2022) e statunitensi (2024) dal Sahel ha creato un vuoto operativo non colmato [</w:t>
      </w:r>
      <w:hyperlink r:id="rId28">
        <w:r>
          <w:rPr>
            <w:rStyle w:val="Hyperlink"/>
          </w:rPr>
          <w:t xml:space="preserve">7</w:t>
        </w:r>
      </w:hyperlink>
      <w:r>
        <w:t xml:space="preserve">]. L’IOM Niger rappresenta l’unica risorsa SAR terrestre significativa nel Ténéré [</w:t>
      </w:r>
      <w:hyperlink r:id="rId31">
        <w:r>
          <w:rPr>
            <w:rStyle w:val="Hyperlink"/>
          </w:rPr>
          <w:t xml:space="preserve">10</w:t>
        </w:r>
      </w:hyperlink>
      <w:r>
        <w:t xml:space="preserve">].</w:t>
      </w:r>
    </w:p>
    <w:p>
      <w:pPr>
        <w:pStyle w:val="BodyText"/>
      </w:pPr>
      <w:r>
        <w:t xml:space="preserve">I rischi di sicurezza sono severi: il Mali settentrionale è teatro di un’offensiva jihadista attiva dal 2026 [</w:t>
      </w:r>
      <w:hyperlink r:id="rId32">
        <w:r>
          <w:rPr>
            <w:rStyle w:val="Hyperlink"/>
          </w:rPr>
          <w:t xml:space="preserve">11</w:t>
        </w:r>
      </w:hyperlink>
      <w:r>
        <w:t xml:space="preserve">], la Libia meridionale resta instabile con attacchi dello SLOR [</w:t>
      </w:r>
      <w:hyperlink r:id="rId33">
        <w:r>
          <w:rPr>
            <w:rStyle w:val="Hyperlink"/>
          </w:rPr>
          <w:t xml:space="preserve">12</w:t>
        </w:r>
      </w:hyperlink>
      <w:r>
        <w:t xml:space="preserve">], il Tibesti ciadiano è zona interdetta, e il Sahara Occidentale presenta 5-10 milioni di mine lungo la berma [</w:t>
      </w:r>
      <w:hyperlink r:id="rId28">
        <w:r>
          <w:rPr>
            <w:rStyle w:val="Hyperlink"/>
          </w:rPr>
          <w:t xml:space="preserve">7</w:t>
        </w:r>
      </w:hyperlink>
      <w:r>
        <w:t xml:space="preserve">,</w:t>
      </w:r>
      <w:r>
        <w:t xml:space="preserve"> </w:t>
      </w:r>
      <w:hyperlink r:id="rId34">
        <w:r>
          <w:rPr>
            <w:rStyle w:val="Hyperlink"/>
          </w:rPr>
          <w:t xml:space="preserve">13</w:t>
        </w:r>
      </w:hyperlink>
      <w:r>
        <w:t xml:space="preserve">]. La fattibilità della missione dipende dalla capacità di pre-posizionare depositi logistici ogni 300-400 km, ottenere accordi formali con le forze armate egiziane e algerine per l’attivazione SAR, e massimizzare il transito in territorio algerino. Si raccomanda di subordinare il segmento maliano a un significativo miglioramento della situazione securitaria entro il 2030, e di dotare ogni veicolo di PLB COSPAS-SARSAT, satellite messenger Iridium e telefoni satellitari ridondanti come ultima linea di difesa nei gap di copertura.</w:t>
      </w:r>
    </w:p>
    <w:bookmarkEnd w:id="35"/>
    <w:bookmarkStart w:id="39" w:name="introduzione-e-panoramica-della-rotta"/>
    <w:p>
      <w:pPr>
        <w:pStyle w:val="Heading2"/>
      </w:pPr>
      <w:r>
        <w:t xml:space="preserve">Introduzione e Panoramica della Rotta</w:t>
      </w:r>
    </w:p>
    <w:p>
      <w:pPr>
        <w:pStyle w:val="FirstParagraph"/>
      </w:pPr>
      <w:r>
        <w:t xml:space="preserve">La traversata est-ovest del Sahara lungo il parallelo 23.026°N rappresenta una delle sfide logistiche e di sicurezza più impegnative per un convoglio terrestre. Con una distanza totale di circa 5.500 km dalla costa del Mar Rosso all’Oceano Atlantico, la rotta attraversa otto paesi o territori, ciascuno con caratteristiche geografiche, infrastrutturali e di sicurezza profondamente diverse. Il presente piano SAR (Search and Rescue) è stato sviluppato per un convoglio di 5 veicoli 4x4 con 10 persone, con partenza prevista nell’autunno 2030, periodo che offre temperature relativamente più moderate rispetto all’estate sahariana.</w:t>
      </w:r>
    </w:p>
    <w:p>
      <w:pPr>
        <w:pStyle w:val="BodyText"/>
      </w:pPr>
      <w:r>
        <w:t xml:space="preserve">Il parallelo 23.026°N coincide quasi esattamente con il Tropico del Cancro e attraversa, da est a ovest: l’Egitto (dalla costa del Mar Rosso a circa 35.5°E fino al confine libico a 25°E), la Libia (25°E–16.97°E), il Ciad settentrionale (15°E–13.77°E), nuovamente la Libia nella regione del Fezzan (13.77°E–11.05°E), il Niger (11.05°E–0°E), l’Algeria (0°E–6.33°W), il Mali (6.33°W–13.08°W), la Mauritania (13.08°W–16.13°W) e il Sahara Occidentale fino alla costa atlantica (16.13°W–17°W) [</w:t>
      </w:r>
      <w:hyperlink r:id="rId36">
        <w:r>
          <w:rPr>
            <w:rStyle w:val="Hyperlink"/>
          </w:rPr>
          <w:t xml:space="preserve">14</w:t>
        </w:r>
      </w:hyperlink>
      <w:r>
        <w:t xml:space="preserve">].</w:t>
      </w:r>
    </w:p>
    <w:p>
      <w:pPr>
        <w:pStyle w:val="BodyText"/>
      </w:pPr>
      <w:r>
        <w:t xml:space="preserve">Il terreno lungo questa latitudine comprende una straordinaria varietà di formazioni desertiche: il Deserto Orientale egiziano con i suoi wadi rocciosi, il Grande Mare di Sabbia, i mari di sabbia di Calanscio e Rebiana in Libia orientale, il Mare di Sabbia di Murzuq nel Fezzan, il vasto Ténéré in Niger, il Tanezrouft algerino-maliano — noto come</w:t>
      </w:r>
      <w:r>
        <w:t xml:space="preserve"> </w:t>
      </w:r>
      <w:r>
        <w:t xml:space="preserve">“Terra della Sete”</w:t>
      </w:r>
      <w:r>
        <w:t xml:space="preserve"> </w:t>
      </w:r>
      <w:r>
        <w:t xml:space="preserve">per la sua assoluta desolazione — e infine il Majâbat al-Kubrâ mauritano [</w:t>
      </w:r>
      <w:hyperlink r:id="rId37">
        <w:r>
          <w:rPr>
            <w:rStyle w:val="Hyperlink"/>
          </w:rPr>
          <w:t xml:space="preserve">15</w:t>
        </w:r>
      </w:hyperlink>
      <w:r>
        <w:t xml:space="preserve">,</w:t>
      </w:r>
      <w:r>
        <w:t xml:space="preserve"> </w:t>
      </w:r>
      <w:hyperlink r:id="rId38">
        <w:r>
          <w:rPr>
            <w:rStyle w:val="Hyperlink"/>
          </w:rPr>
          <w:t xml:space="preserve">16</w:t>
        </w:r>
      </w:hyperlink>
      <w:r>
        <w:t xml:space="preserve">]. L’attraversamento del Nilo avviene nei pressi di Assuan, dove si trova il monumento al Tropico del Cancro a circa 32.9°E. Le oasi di Kharga e Dakhla si trovano leggermente a nord della rotta in Egitto, mentre l’oasi di Kufra in Libia rappresenta un punto di riferimento critico.</w:t>
      </w:r>
    </w:p>
    <w:bookmarkEnd w:id="39"/>
    <w:bookmarkStart w:id="44" w:name="X718fe3bc81b2d2d4578aadd5ff1a28a2cf14ea4"/>
    <w:p>
      <w:pPr>
        <w:pStyle w:val="Heading2"/>
      </w:pPr>
      <w:r>
        <w:t xml:space="preserve">Infrastruttura SAR e Inventario degli Aeroporti</w:t>
      </w:r>
    </w:p>
    <w:p>
      <w:pPr>
        <w:pStyle w:val="FirstParagraph"/>
      </w:pPr>
      <w:r>
        <w:t xml:space="preserve">L’identificazione delle basi aeree e degli aeroporti operativi entro un raggio di 200-300 km dalla rotta è fondamentale per garantire la copertura SAR con elicotteri da soccorso. L’analisi ha identificato circa 12 strutture aeroportuali utilizzabili lungo il corridoio, distribuite in modo disomogeneo.</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Aeroporto/Base</w:t>
            </w:r>
          </w:p>
        </w:tc>
        <w:tc>
          <w:tcPr/>
          <w:p>
            <w:pPr>
              <w:pStyle w:val="Compact"/>
            </w:pPr>
            <w:r>
              <w:t xml:space="preserve">Latitudine</w:t>
            </w:r>
          </w:p>
        </w:tc>
        <w:tc>
          <w:tcPr/>
          <w:p>
            <w:pPr>
              <w:pStyle w:val="Compact"/>
            </w:pPr>
            <w:r>
              <w:t xml:space="preserve">Longitudine</w:t>
            </w:r>
          </w:p>
        </w:tc>
        <w:tc>
          <w:tcPr/>
          <w:p>
            <w:pPr>
              <w:pStyle w:val="Compact"/>
            </w:pPr>
            <w:r>
              <w:t xml:space="preserve">ICAO</w:t>
            </w:r>
          </w:p>
        </w:tc>
        <w:tc>
          <w:tcPr/>
          <w:p>
            <w:pPr>
              <w:pStyle w:val="Compact"/>
            </w:pPr>
            <w:r>
              <w:t xml:space="preserve">Tipo</w:t>
            </w:r>
          </w:p>
        </w:tc>
        <w:tc>
          <w:tcPr/>
          <w:p>
            <w:pPr>
              <w:pStyle w:val="Compact"/>
            </w:pPr>
            <w:r>
              <w:t xml:space="preserve">Pista</w:t>
            </w:r>
          </w:p>
        </w:tc>
      </w:tr>
      <w:tr>
        <w:tc>
          <w:tcPr/>
          <w:p>
            <w:pPr>
              <w:pStyle w:val="Compact"/>
            </w:pPr>
            <w:r>
              <w:t xml:space="preserve">Aswan International (Egitto)</w:t>
            </w:r>
          </w:p>
        </w:tc>
        <w:tc>
          <w:tcPr/>
          <w:p>
            <w:pPr>
              <w:pStyle w:val="Compact"/>
            </w:pPr>
            <w:r>
              <w:t xml:space="preserve">23.96°N</w:t>
            </w:r>
          </w:p>
        </w:tc>
        <w:tc>
          <w:tcPr/>
          <w:p>
            <w:pPr>
              <w:pStyle w:val="Compact"/>
            </w:pPr>
            <w:r>
              <w:t xml:space="preserve">32.82°E</w:t>
            </w:r>
          </w:p>
        </w:tc>
        <w:tc>
          <w:tcPr/>
          <w:p>
            <w:pPr>
              <w:pStyle w:val="Compact"/>
            </w:pPr>
            <w:r>
              <w:t xml:space="preserve">HESN</w:t>
            </w:r>
          </w:p>
        </w:tc>
        <w:tc>
          <w:tcPr/>
          <w:p>
            <w:pPr>
              <w:pStyle w:val="Compact"/>
            </w:pPr>
            <w:r>
              <w:t xml:space="preserve">Civile</w:t>
            </w:r>
          </w:p>
        </w:tc>
        <w:tc>
          <w:tcPr/>
          <w:p>
            <w:pPr>
              <w:pStyle w:val="Compact"/>
            </w:pPr>
            <w:r>
              <w:t xml:space="preserve">Asfaltata, 3.400 m [</w:t>
            </w:r>
            <w:hyperlink r:id="rId22">
              <w:r>
                <w:rPr>
                  <w:rStyle w:val="Hyperlink"/>
                </w:rPr>
                <w:t xml:space="preserve">1</w:t>
              </w:r>
            </w:hyperlink>
            <w:r>
              <w:t xml:space="preserve">]</w:t>
            </w:r>
          </w:p>
        </w:tc>
      </w:tr>
      <w:tr>
        <w:tc>
          <w:tcPr/>
          <w:p>
            <w:pPr>
              <w:pStyle w:val="Compact"/>
            </w:pPr>
            <w:r>
              <w:t xml:space="preserve">El Kharga/New Valley (Egitto)</w:t>
            </w:r>
          </w:p>
        </w:tc>
        <w:tc>
          <w:tcPr/>
          <w:p>
            <w:pPr>
              <w:pStyle w:val="Compact"/>
            </w:pPr>
            <w:r>
              <w:t xml:space="preserve">25.47°N</w:t>
            </w:r>
          </w:p>
        </w:tc>
        <w:tc>
          <w:tcPr/>
          <w:p>
            <w:pPr>
              <w:pStyle w:val="Compact"/>
            </w:pPr>
            <w:r>
              <w:t xml:space="preserve">30.59°E</w:t>
            </w:r>
          </w:p>
        </w:tc>
        <w:tc>
          <w:tcPr/>
          <w:p>
            <w:pPr>
              <w:pStyle w:val="Compact"/>
            </w:pPr>
            <w:r>
              <w:t xml:space="preserve">HEKG</w:t>
            </w:r>
          </w:p>
        </w:tc>
        <w:tc>
          <w:tcPr/>
          <w:p>
            <w:pPr>
              <w:pStyle w:val="Compact"/>
            </w:pPr>
            <w:r>
              <w:t xml:space="preserve">Civile/Militare</w:t>
            </w:r>
          </w:p>
        </w:tc>
        <w:tc>
          <w:tcPr/>
          <w:p>
            <w:pPr>
              <w:pStyle w:val="Compact"/>
            </w:pPr>
            <w:r>
              <w:t xml:space="preserve">Asfaltata, 3.500 m</w:t>
            </w:r>
          </w:p>
        </w:tc>
      </w:tr>
      <w:tr>
        <w:tc>
          <w:tcPr/>
          <w:p>
            <w:pPr>
              <w:pStyle w:val="Compact"/>
            </w:pPr>
            <w:r>
              <w:t xml:space="preserve">Kufra (Libia)</w:t>
            </w:r>
          </w:p>
        </w:tc>
        <w:tc>
          <w:tcPr/>
          <w:p>
            <w:pPr>
              <w:pStyle w:val="Compact"/>
            </w:pPr>
            <w:r>
              <w:t xml:space="preserve">24.18°N</w:t>
            </w:r>
          </w:p>
        </w:tc>
        <w:tc>
          <w:tcPr/>
          <w:p>
            <w:pPr>
              <w:pStyle w:val="Compact"/>
            </w:pPr>
            <w:r>
              <w:t xml:space="preserve">23.31°E</w:t>
            </w:r>
          </w:p>
        </w:tc>
        <w:tc>
          <w:tcPr/>
          <w:p>
            <w:pPr>
              <w:pStyle w:val="Compact"/>
            </w:pPr>
            <w:r>
              <w:t xml:space="preserve">HLKF</w:t>
            </w:r>
          </w:p>
        </w:tc>
        <w:tc>
          <w:tcPr/>
          <w:p>
            <w:pPr>
              <w:pStyle w:val="Compact"/>
            </w:pPr>
            <w:r>
              <w:t xml:space="preserve">Pubblico</w:t>
            </w:r>
          </w:p>
        </w:tc>
        <w:tc>
          <w:tcPr/>
          <w:p>
            <w:pPr>
              <w:pStyle w:val="Compact"/>
            </w:pPr>
            <w:r>
              <w:t xml:space="preserve">Asfalto, 3.660 m [</w:t>
            </w:r>
            <w:hyperlink r:id="rId23">
              <w:r>
                <w:rPr>
                  <w:rStyle w:val="Hyperlink"/>
                </w:rPr>
                <w:t xml:space="preserve">2</w:t>
              </w:r>
            </w:hyperlink>
            <w:r>
              <w:t xml:space="preserve">]</w:t>
            </w:r>
          </w:p>
        </w:tc>
      </w:tr>
      <w:tr>
        <w:tc>
          <w:tcPr/>
          <w:p>
            <w:pPr>
              <w:pStyle w:val="Compact"/>
            </w:pPr>
            <w:r>
              <w:t xml:space="preserve">Maaten al-Sarra (Libia)</w:t>
            </w:r>
          </w:p>
        </w:tc>
        <w:tc>
          <w:tcPr/>
          <w:p>
            <w:pPr>
              <w:pStyle w:val="Compact"/>
            </w:pPr>
            <w:r>
              <w:t xml:space="preserve">21.69°N</w:t>
            </w:r>
          </w:p>
        </w:tc>
        <w:tc>
          <w:tcPr/>
          <w:p>
            <w:pPr>
              <w:pStyle w:val="Compact"/>
            </w:pPr>
            <w:r>
              <w:t xml:space="preserve">21.83°E</w:t>
            </w:r>
          </w:p>
        </w:tc>
        <w:tc>
          <w:tcPr/>
          <w:p>
            <w:pPr>
              <w:pStyle w:val="Compact"/>
            </w:pPr>
            <w:r>
              <w:t xml:space="preserve">HL56</w:t>
            </w:r>
          </w:p>
        </w:tc>
        <w:tc>
          <w:tcPr/>
          <w:p>
            <w:pPr>
              <w:pStyle w:val="Compact"/>
            </w:pPr>
            <w:r>
              <w:t xml:space="preserve">Militare</w:t>
            </w:r>
          </w:p>
        </w:tc>
        <w:tc>
          <w:tcPr/>
          <w:p>
            <w:pPr>
              <w:pStyle w:val="Compact"/>
            </w:pPr>
            <w:r>
              <w:t xml:space="preserve">Asfaltata [</w:t>
            </w:r>
            <w:hyperlink r:id="rId29">
              <w:r>
                <w:rPr>
                  <w:rStyle w:val="Hyperlink"/>
                </w:rPr>
                <w:t xml:space="preserve">8</w:t>
              </w:r>
            </w:hyperlink>
            <w:r>
              <w:t xml:space="preserve">]</w:t>
            </w:r>
          </w:p>
        </w:tc>
      </w:tr>
      <w:tr>
        <w:tc>
          <w:tcPr/>
          <w:p>
            <w:pPr>
              <w:pStyle w:val="Compact"/>
            </w:pPr>
            <w:r>
              <w:t xml:space="preserve">Bardai-Zougra (Ciad)</w:t>
            </w:r>
          </w:p>
        </w:tc>
        <w:tc>
          <w:tcPr/>
          <w:p>
            <w:pPr>
              <w:pStyle w:val="Compact"/>
            </w:pPr>
            <w:r>
              <w:t xml:space="preserve">21.45°N</w:t>
            </w:r>
          </w:p>
        </w:tc>
        <w:tc>
          <w:tcPr/>
          <w:p>
            <w:pPr>
              <w:pStyle w:val="Compact"/>
            </w:pPr>
            <w:r>
              <w:t xml:space="preserve">17.05°E</w:t>
            </w:r>
          </w:p>
        </w:tc>
        <w:tc>
          <w:tcPr/>
          <w:p>
            <w:pPr>
              <w:pStyle w:val="Compact"/>
            </w:pPr>
            <w:r>
              <w:t xml:space="preserve">FTTZ</w:t>
            </w:r>
          </w:p>
        </w:tc>
        <w:tc>
          <w:tcPr/>
          <w:p>
            <w:pPr>
              <w:pStyle w:val="Compact"/>
            </w:pPr>
            <w:r>
              <w:t xml:space="preserve">Pubblico/Militare</w:t>
            </w:r>
          </w:p>
        </w:tc>
        <w:tc>
          <w:tcPr/>
          <w:p>
            <w:pPr>
              <w:pStyle w:val="Compact"/>
            </w:pPr>
            <w:r>
              <w:t xml:space="preserve">Non asfaltata [</w:t>
            </w:r>
            <w:hyperlink r:id="rId40">
              <w:r>
                <w:rPr>
                  <w:rStyle w:val="Hyperlink"/>
                </w:rPr>
                <w:t xml:space="preserve">17</w:t>
              </w:r>
            </w:hyperlink>
            <w:r>
              <w:t xml:space="preserve">]</w:t>
            </w:r>
          </w:p>
        </w:tc>
      </w:tr>
      <w:tr>
        <w:tc>
          <w:tcPr/>
          <w:p>
            <w:pPr>
              <w:pStyle w:val="Compact"/>
            </w:pPr>
            <w:r>
              <w:t xml:space="preserve">Djanet Inedbirene (Algeria)</w:t>
            </w:r>
          </w:p>
        </w:tc>
        <w:tc>
          <w:tcPr/>
          <w:p>
            <w:pPr>
              <w:pStyle w:val="Compact"/>
            </w:pPr>
            <w:r>
              <w:t xml:space="preserve">24.45°N</w:t>
            </w:r>
          </w:p>
        </w:tc>
        <w:tc>
          <w:tcPr/>
          <w:p>
            <w:pPr>
              <w:pStyle w:val="Compact"/>
            </w:pPr>
            <w:r>
              <w:t xml:space="preserve">9.51°E</w:t>
            </w:r>
          </w:p>
        </w:tc>
        <w:tc>
          <w:tcPr/>
          <w:p>
            <w:pPr>
              <w:pStyle w:val="Compact"/>
            </w:pPr>
            <w:r>
              <w:t xml:space="preserve">DAAJ</w:t>
            </w:r>
          </w:p>
        </w:tc>
        <w:tc>
          <w:tcPr/>
          <w:p>
            <w:pPr>
              <w:pStyle w:val="Compact"/>
            </w:pPr>
            <w:r>
              <w:t xml:space="preserve">Civile</w:t>
            </w:r>
          </w:p>
        </w:tc>
        <w:tc>
          <w:tcPr/>
          <w:p>
            <w:pPr>
              <w:pStyle w:val="Compact"/>
            </w:pPr>
            <w:r>
              <w:t xml:space="preserve">Asfaltata [</w:t>
            </w:r>
            <w:hyperlink r:id="rId30">
              <w:r>
                <w:rPr>
                  <w:rStyle w:val="Hyperlink"/>
                </w:rPr>
                <w:t xml:space="preserve">9</w:t>
              </w:r>
            </w:hyperlink>
            <w:r>
              <w:t xml:space="preserve">]</w:t>
            </w:r>
          </w:p>
        </w:tc>
      </w:tr>
      <w:tr>
        <w:tc>
          <w:tcPr/>
          <w:p>
            <w:pPr>
              <w:pStyle w:val="Compact"/>
            </w:pPr>
            <w:r>
              <w:t xml:space="preserve">Tamanrasset Aguenar (Algeria)</w:t>
            </w:r>
          </w:p>
        </w:tc>
        <w:tc>
          <w:tcPr/>
          <w:p>
            <w:pPr>
              <w:pStyle w:val="Compact"/>
            </w:pPr>
            <w:r>
              <w:t xml:space="preserve">22.81°N</w:t>
            </w:r>
          </w:p>
        </w:tc>
        <w:tc>
          <w:tcPr/>
          <w:p>
            <w:pPr>
              <w:pStyle w:val="Compact"/>
            </w:pPr>
            <w:r>
              <w:t xml:space="preserve">5.44°E</w:t>
            </w:r>
          </w:p>
        </w:tc>
        <w:tc>
          <w:tcPr/>
          <w:p>
            <w:pPr>
              <w:pStyle w:val="Compact"/>
            </w:pPr>
            <w:r>
              <w:t xml:space="preserve">DAAT</w:t>
            </w:r>
          </w:p>
        </w:tc>
        <w:tc>
          <w:tcPr/>
          <w:p>
            <w:pPr>
              <w:pStyle w:val="Compact"/>
            </w:pPr>
            <w:r>
              <w:t xml:space="preserve">Civile/Militare</w:t>
            </w:r>
          </w:p>
        </w:tc>
        <w:tc>
          <w:tcPr/>
          <w:p>
            <w:pPr>
              <w:pStyle w:val="Compact"/>
            </w:pPr>
            <w:r>
              <w:t xml:space="preserve">Asfaltata, 3.000+ m [</w:t>
            </w:r>
            <w:hyperlink r:id="rId24">
              <w:r>
                <w:rPr>
                  <w:rStyle w:val="Hyperlink"/>
                </w:rPr>
                <w:t xml:space="preserve">3</w:t>
              </w:r>
            </w:hyperlink>
            <w:r>
              <w:t xml:space="preserve">]</w:t>
            </w:r>
          </w:p>
        </w:tc>
      </w:tr>
      <w:tr>
        <w:tc>
          <w:tcPr/>
          <w:p>
            <w:pPr>
              <w:pStyle w:val="Compact"/>
            </w:pPr>
            <w:r>
              <w:t xml:space="preserve">Bordj Badji Mokhtar (Algeria)</w:t>
            </w:r>
          </w:p>
        </w:tc>
        <w:tc>
          <w:tcPr/>
          <w:p>
            <w:pPr>
              <w:pStyle w:val="Compact"/>
            </w:pPr>
            <w:r>
              <w:t xml:space="preserve">21.38°N</w:t>
            </w:r>
          </w:p>
        </w:tc>
        <w:tc>
          <w:tcPr/>
          <w:p>
            <w:pPr>
              <w:pStyle w:val="Compact"/>
            </w:pPr>
            <w:r>
              <w:t xml:space="preserve">0.93°E</w:t>
            </w:r>
          </w:p>
        </w:tc>
        <w:tc>
          <w:tcPr/>
          <w:p>
            <w:pPr>
              <w:pStyle w:val="Compact"/>
            </w:pPr>
            <w:r>
              <w:t xml:space="preserve">DATM</w:t>
            </w:r>
          </w:p>
        </w:tc>
        <w:tc>
          <w:tcPr/>
          <w:p>
            <w:pPr>
              <w:pStyle w:val="Compact"/>
            </w:pPr>
            <w:r>
              <w:t xml:space="preserve">Civile</w:t>
            </w:r>
          </w:p>
        </w:tc>
        <w:tc>
          <w:tcPr/>
          <w:p>
            <w:pPr>
              <w:pStyle w:val="Compact"/>
            </w:pPr>
            <w:r>
              <w:t xml:space="preserve">Asfaltata [</w:t>
            </w:r>
            <w:hyperlink r:id="rId41">
              <w:r>
                <w:rPr>
                  <w:rStyle w:val="Hyperlink"/>
                </w:rPr>
                <w:t xml:space="preserve">18</w:t>
              </w:r>
            </w:hyperlink>
            <w:r>
              <w:t xml:space="preserve">]</w:t>
            </w:r>
          </w:p>
        </w:tc>
      </w:tr>
      <w:tr>
        <w:tc>
          <w:tcPr/>
          <w:p>
            <w:pPr>
              <w:pStyle w:val="Compact"/>
            </w:pPr>
            <w:r>
              <w:t xml:space="preserve">Tessalit (Mali)</w:t>
            </w:r>
          </w:p>
        </w:tc>
        <w:tc>
          <w:tcPr/>
          <w:p>
            <w:pPr>
              <w:pStyle w:val="Compact"/>
            </w:pPr>
            <w:r>
              <w:t xml:space="preserve">20.24°N</w:t>
            </w:r>
          </w:p>
        </w:tc>
        <w:tc>
          <w:tcPr/>
          <w:p>
            <w:pPr>
              <w:pStyle w:val="Compact"/>
            </w:pPr>
            <w:r>
              <w:t xml:space="preserve">0.98°E</w:t>
            </w:r>
          </w:p>
        </w:tc>
        <w:tc>
          <w:tcPr/>
          <w:p>
            <w:pPr>
              <w:pStyle w:val="Compact"/>
            </w:pPr>
            <w:r>
              <w:t xml:space="preserve">GATS</w:t>
            </w:r>
          </w:p>
        </w:tc>
        <w:tc>
          <w:tcPr/>
          <w:p>
            <w:pPr>
              <w:pStyle w:val="Compact"/>
            </w:pPr>
            <w:r>
              <w:t xml:space="preserve">Militare/Civile</w:t>
            </w:r>
          </w:p>
        </w:tc>
        <w:tc>
          <w:tcPr/>
          <w:p>
            <w:pPr>
              <w:pStyle w:val="Compact"/>
            </w:pPr>
            <w:r>
              <w:t xml:space="preserve">Non asfaltata [</w:t>
            </w:r>
            <w:hyperlink r:id="rId25">
              <w:r>
                <w:rPr>
                  <w:rStyle w:val="Hyperlink"/>
                </w:rPr>
                <w:t xml:space="preserve">4</w:t>
              </w:r>
            </w:hyperlink>
            <w:r>
              <w:t xml:space="preserve">]</w:t>
            </w:r>
          </w:p>
        </w:tc>
      </w:tr>
      <w:tr>
        <w:tc>
          <w:tcPr/>
          <w:p>
            <w:pPr>
              <w:pStyle w:val="Compact"/>
            </w:pPr>
            <w:r>
              <w:t xml:space="preserve">Zouérat Tazadit (Mauritania)</w:t>
            </w:r>
          </w:p>
        </w:tc>
        <w:tc>
          <w:tcPr/>
          <w:p>
            <w:pPr>
              <w:pStyle w:val="Compact"/>
            </w:pPr>
            <w:r>
              <w:t xml:space="preserve">22.76°N</w:t>
            </w:r>
          </w:p>
        </w:tc>
        <w:tc>
          <w:tcPr/>
          <w:p>
            <w:pPr>
              <w:pStyle w:val="Compact"/>
            </w:pPr>
            <w:r>
              <w:t xml:space="preserve">-12.48°W</w:t>
            </w:r>
          </w:p>
        </w:tc>
        <w:tc>
          <w:tcPr/>
          <w:p>
            <w:pPr>
              <w:pStyle w:val="Compact"/>
            </w:pPr>
            <w:r>
              <w:t xml:space="preserve">GQPZ</w:t>
            </w:r>
          </w:p>
        </w:tc>
        <w:tc>
          <w:tcPr/>
          <w:p>
            <w:pPr>
              <w:pStyle w:val="Compact"/>
            </w:pPr>
            <w:r>
              <w:t xml:space="preserve">Civile</w:t>
            </w:r>
          </w:p>
        </w:tc>
        <w:tc>
          <w:tcPr/>
          <w:p>
            <w:pPr>
              <w:pStyle w:val="Compact"/>
            </w:pPr>
            <w:r>
              <w:t xml:space="preserve">Asfaltata [</w:t>
            </w:r>
            <w:hyperlink r:id="rId26">
              <w:r>
                <w:rPr>
                  <w:rStyle w:val="Hyperlink"/>
                </w:rPr>
                <w:t xml:space="preserve">5</w:t>
              </w:r>
            </w:hyperlink>
            <w:r>
              <w:t xml:space="preserve">]</w:t>
            </w:r>
          </w:p>
        </w:tc>
      </w:tr>
      <w:tr>
        <w:tc>
          <w:tcPr/>
          <w:p>
            <w:pPr>
              <w:pStyle w:val="Compact"/>
            </w:pPr>
            <w:r>
              <w:t xml:space="preserve">Bir Moghrein (Mauritania)</w:t>
            </w:r>
          </w:p>
        </w:tc>
        <w:tc>
          <w:tcPr/>
          <w:p>
            <w:pPr>
              <w:pStyle w:val="Compact"/>
            </w:pPr>
            <w:r>
              <w:t xml:space="preserve">25.19°N</w:t>
            </w:r>
          </w:p>
        </w:tc>
        <w:tc>
          <w:tcPr/>
          <w:p>
            <w:pPr>
              <w:pStyle w:val="Compact"/>
            </w:pPr>
            <w:r>
              <w:t xml:space="preserve">-11.61°W</w:t>
            </w:r>
          </w:p>
        </w:tc>
        <w:tc>
          <w:tcPr/>
          <w:p>
            <w:pPr>
              <w:pStyle w:val="Compact"/>
            </w:pPr>
            <w:r>
              <w:t xml:space="preserve">GQPT</w:t>
            </w:r>
          </w:p>
        </w:tc>
        <w:tc>
          <w:tcPr/>
          <w:p>
            <w:pPr>
              <w:pStyle w:val="Compact"/>
            </w:pPr>
            <w:r>
              <w:t xml:space="preserve">Civile</w:t>
            </w:r>
          </w:p>
        </w:tc>
        <w:tc>
          <w:tcPr/>
          <w:p>
            <w:pPr>
              <w:pStyle w:val="Compact"/>
            </w:pPr>
            <w:r>
              <w:t xml:space="preserve">Non asfaltata [</w:t>
            </w:r>
            <w:hyperlink r:id="rId27">
              <w:r>
                <w:rPr>
                  <w:rStyle w:val="Hyperlink"/>
                </w:rPr>
                <w:t xml:space="preserve">6</w:t>
              </w:r>
            </w:hyperlink>
            <w:r>
              <w:t xml:space="preserve">]</w:t>
            </w:r>
          </w:p>
        </w:tc>
      </w:tr>
      <w:tr>
        <w:tc>
          <w:tcPr/>
          <w:p>
            <w:pPr>
              <w:pStyle w:val="Compact"/>
            </w:pPr>
            <w:r>
              <w:t xml:space="preserve">Dakhla (Sahara Occ.)</w:t>
            </w:r>
          </w:p>
        </w:tc>
        <w:tc>
          <w:tcPr/>
          <w:p>
            <w:pPr>
              <w:pStyle w:val="Compact"/>
            </w:pPr>
            <w:r>
              <w:t xml:space="preserve">23.72°N</w:t>
            </w:r>
          </w:p>
        </w:tc>
        <w:tc>
          <w:tcPr/>
          <w:p>
            <w:pPr>
              <w:pStyle w:val="Compact"/>
            </w:pPr>
            <w:r>
              <w:t xml:space="preserve">-15.93°W</w:t>
            </w:r>
          </w:p>
        </w:tc>
        <w:tc>
          <w:tcPr/>
          <w:p>
            <w:pPr>
              <w:pStyle w:val="Compact"/>
            </w:pPr>
            <w:r>
              <w:t xml:space="preserve">GMMH</w:t>
            </w:r>
          </w:p>
        </w:tc>
        <w:tc>
          <w:tcPr/>
          <w:p>
            <w:pPr>
              <w:pStyle w:val="Compact"/>
            </w:pPr>
            <w:r>
              <w:t xml:space="preserve">Civile</w:t>
            </w:r>
          </w:p>
        </w:tc>
        <w:tc>
          <w:tcPr/>
          <w:p>
            <w:pPr>
              <w:pStyle w:val="Compact"/>
            </w:pPr>
            <w:r>
              <w:t xml:space="preserve">Asfaltata [</w:t>
            </w:r>
            <w:hyperlink r:id="rId28">
              <w:r>
                <w:rPr>
                  <w:rStyle w:val="Hyperlink"/>
                </w:rPr>
                <w:t xml:space="preserve">7</w:t>
              </w:r>
            </w:hyperlink>
            <w:r>
              <w:t xml:space="preserve">]</w:t>
            </w:r>
          </w:p>
        </w:tc>
      </w:tr>
    </w:tbl>
    <w:p>
      <w:pPr>
        <w:pStyle w:val="BodyText"/>
      </w:pPr>
      <w:r>
        <w:rPr>
          <w:i/>
          <w:iCs/>
        </w:rPr>
        <w:t xml:space="preserve">Tabella 1: Aeroporti e basi aeree entro 300 km dal parallelo 23.026°N</w:t>
      </w:r>
    </w:p>
    <w:p>
      <w:pPr>
        <w:pStyle w:val="BodyText"/>
      </w:pPr>
      <w:r>
        <w:t xml:space="preserve">Tamanrasset rappresenta l’hub militare aereo principale dell’Algeria meridionale, ospitando caccia multiruolo Sukhoi Su-30MK del 123° Squadrone di Difesa Aerea che forniscono copertura per gran parte del sud algerino [</w:t>
      </w:r>
      <w:hyperlink r:id="rId42">
        <w:r>
          <w:rPr>
            <w:rStyle w:val="Hyperlink"/>
          </w:rPr>
          <w:t xml:space="preserve">19</w:t>
        </w:r>
      </w:hyperlink>
      <w:r>
        <w:t xml:space="preserve">]. La base di Maaten al-Sarra è una delle 13 basi aeree militari libiche, sebbene il suo stato operativo attuale sia incerto a causa del conflitto civile [</w:t>
      </w:r>
      <w:hyperlink r:id="rId43">
        <w:r>
          <w:rPr>
            <w:rStyle w:val="Hyperlink"/>
          </w:rPr>
          <w:t xml:space="preserve">20</w:t>
        </w:r>
      </w:hyperlink>
      <w:r>
        <w:t xml:space="preserve">]. La Niger Air Base 201 presso Agadez (16.95°N), costruita dagli Stati Uniti e restituita alle forze armate nigerine nell’agosto 2024, si trova al di fuori del corridoio di 300 km ma potrebbe fornire supporto logistico [</w:t>
      </w:r>
      <w:hyperlink r:id="rId28">
        <w:r>
          <w:rPr>
            <w:rStyle w:val="Hyperlink"/>
          </w:rPr>
          <w:t xml:space="preserve">7</w:t>
        </w:r>
      </w:hyperlink>
      <w:r>
        <w:t xml:space="preserve">].</w:t>
      </w:r>
    </w:p>
    <w:bookmarkEnd w:id="44"/>
    <w:bookmarkStart w:id="48" w:name="analisi-dei-gap-di-copertura-sar"/>
    <w:p>
      <w:pPr>
        <w:pStyle w:val="Heading2"/>
      </w:pPr>
      <w:r>
        <w:t xml:space="preserve">Analisi dei Gap di Copertura SAR</w:t>
      </w:r>
    </w:p>
    <w:p>
      <w:pPr>
        <w:pStyle w:val="FirstParagraph"/>
      </w:pPr>
      <w:r>
        <w:t xml:space="preserve">L’analisi della distribuzione degli aeroporti lungo la rotta rivela significative lacune nella copertura SAR, dove nessun elicottero da soccorso con raggio operativo di 300 km può raggiungere il convoglio.</w:t>
      </w:r>
    </w:p>
    <w:p>
      <w:pPr>
        <w:pStyle w:val="CaptionedFigure"/>
      </w:pPr>
      <w:r>
        <w:drawing>
          <wp:inline>
            <wp:extent cx="6756400" cy="2608246"/>
            <wp:effectExtent b="0" l="0" r="0" t="0"/>
            <wp:docPr descr="Analisi della copertura SAR lungo il parallelo 23.026°N" title="" id="46" name="Picture"/>
            <a:graphic>
              <a:graphicData uri="http://schemas.openxmlformats.org/drawingml/2006/picture">
                <pic:pic>
                  <pic:nvPicPr>
                    <pic:cNvPr descr="/home/appuser/RESEARCH_EXPORT_WORKDIR/646b42a4-83c6-4227-9c8d-2135180e889c/assets/277c36ee-1ed5-4d4c-90d5-1520bc33e5f3.png" id="47" name="Picture"/>
                    <pic:cNvPicPr>
                      <a:picLocks noChangeArrowheads="1" noChangeAspect="1"/>
                    </pic:cNvPicPr>
                  </pic:nvPicPr>
                  <pic:blipFill>
                    <a:blip r:embed="rId45"/>
                    <a:stretch>
                      <a:fillRect/>
                    </a:stretch>
                  </pic:blipFill>
                  <pic:spPr bwMode="auto">
                    <a:xfrm>
                      <a:off x="0" y="0"/>
                      <a:ext cx="6756400" cy="2608246"/>
                    </a:xfrm>
                    <a:prstGeom prst="rect">
                      <a:avLst/>
                    </a:prstGeom>
                    <a:noFill/>
                    <a:ln w="9525">
                      <a:noFill/>
                      <a:headEnd/>
                      <a:tailEnd/>
                    </a:ln>
                  </pic:spPr>
                </pic:pic>
              </a:graphicData>
            </a:graphic>
          </wp:inline>
        </w:drawing>
      </w:r>
    </w:p>
    <w:p>
      <w:pPr>
        <w:pStyle w:val="ImageCaption"/>
      </w:pPr>
      <w:r>
        <w:t xml:space="preserve">Analisi della copertura SAR lungo il parallelo 23.026°N</w:t>
      </w:r>
    </w:p>
    <w:p>
      <w:pPr>
        <w:pStyle w:val="BodyText"/>
      </w:pPr>
      <w:r>
        <w:rPr>
          <w:i/>
          <w:iCs/>
        </w:rPr>
        <w:t xml:space="preserve">Spiegazione del grafico</w:t>
      </w:r>
      <w:r>
        <w:t xml:space="preserve">: Il grafico mostra la distanza dal punto più vicino dotato di aeroporto lungo l’intera rotta. Le aree in rosso indicano i segmenti dove la distanza supera i 300 km (raggio massimo operativo di un elicottero da soccorso), evidenziando i gap critici di copertura SAR [</w:t>
      </w:r>
      <w:hyperlink r:id="rId22">
        <w:r>
          <w:rPr>
            <w:rStyle w:val="Hyperlink"/>
          </w:rPr>
          <w:t xml:space="preserve">1</w:t>
        </w:r>
      </w:hyperlink>
      <w:r>
        <w:t xml:space="preserve">,</w:t>
      </w:r>
      <w:r>
        <w:t xml:space="preserve"> </w:t>
      </w:r>
      <w:hyperlink r:id="rId23">
        <w:r>
          <w:rPr>
            <w:rStyle w:val="Hyperlink"/>
          </w:rPr>
          <w:t xml:space="preserve">2</w:t>
        </w:r>
      </w:hyperlink>
      <w:r>
        <w:t xml:space="preserve">,</w:t>
      </w:r>
      <w:r>
        <w:t xml:space="preserve"> </w:t>
      </w:r>
      <w:hyperlink r:id="rId24">
        <w:r>
          <w:rPr>
            <w:rStyle w:val="Hyperlink"/>
          </w:rPr>
          <w:t xml:space="preserve">3</w:t>
        </w:r>
      </w:hyperlink>
      <w:r>
        <w:t xml:space="preserve">,</w:t>
      </w:r>
      <w:r>
        <w:t xml:space="preserve"> </w:t>
      </w:r>
      <w:hyperlink r:id="rId25">
        <w:r>
          <w:rPr>
            <w:rStyle w:val="Hyperlink"/>
          </w:rPr>
          <w:t xml:space="preserve">4</w:t>
        </w:r>
      </w:hyperlink>
      <w:r>
        <w:t xml:space="preserve">,</w:t>
      </w:r>
      <w:r>
        <w:t xml:space="preserve"> </w:t>
      </w:r>
      <w:hyperlink r:id="rId26">
        <w:r>
          <w:rPr>
            <w:rStyle w:val="Hyperlink"/>
          </w:rPr>
          <w:t xml:space="preserve">5</w:t>
        </w:r>
      </w:hyperlink>
      <w:r>
        <w:t xml:space="preserve">,</w:t>
      </w:r>
      <w:r>
        <w:t xml:space="preserve"> </w:t>
      </w:r>
      <w:hyperlink r:id="rId27">
        <w:r>
          <w:rPr>
            <w:rStyle w:val="Hyperlink"/>
          </w:rPr>
          <w:t xml:space="preserve">6</w:t>
        </w:r>
      </w:hyperlink>
      <w:r>
        <w:t xml:space="preserve">,</w:t>
      </w:r>
      <w:r>
        <w:t xml:space="preserve"> </w:t>
      </w:r>
      <w:hyperlink r:id="rId28">
        <w:r>
          <w:rPr>
            <w:rStyle w:val="Hyperlink"/>
          </w:rPr>
          <w:t xml:space="preserve">7</w:t>
        </w:r>
      </w:hyperlink>
      <w:r>
        <w:t xml:space="preserve">,</w:t>
      </w:r>
      <w:r>
        <w:t xml:space="preserve"> </w:t>
      </w:r>
      <w:hyperlink r:id="rId29">
        <w:r>
          <w:rPr>
            <w:rStyle w:val="Hyperlink"/>
          </w:rPr>
          <w:t xml:space="preserve">8</w:t>
        </w:r>
      </w:hyperlink>
      <w:r>
        <w:t xml:space="preserve">,</w:t>
      </w:r>
      <w:r>
        <w:t xml:space="preserve"> </w:t>
      </w:r>
      <w:hyperlink r:id="rId30">
        <w:r>
          <w:rPr>
            <w:rStyle w:val="Hyperlink"/>
          </w:rPr>
          <w:t xml:space="preserve">9</w:t>
        </w:r>
      </w:hyperlink>
      <w:r>
        <w:t xml:space="preserve">].</w:t>
      </w:r>
    </w:p>
    <w:p>
      <w:pPr>
        <w:pStyle w:val="BodyText"/>
      </w:pPr>
      <w:r>
        <w:rPr>
          <w:b/>
          <w:bCs/>
        </w:rPr>
        <w:t xml:space="preserve">Gap critico 1 — Bardai-Kufra (circa 600 km senza aeroporti intermedi):</w:t>
      </w:r>
      <w:r>
        <w:t xml:space="preserve"> </w:t>
      </w:r>
      <w:r>
        <w:t xml:space="preserve">Tra l’aeroporto di Bardai in Ciad (17.05°E) e Kufra in Libia (23.31°E) si estende una zona di circa 600 km est-ovest priva di qualsiasi struttura aeroportuale. Questo rappresenta il gap SAR più ampio lungo l’intera rotta, con un segmento centrale di oltre 300 km irraggiungibile da qualsiasi elicottero basato nelle strutture identificate.</w:t>
      </w:r>
    </w:p>
    <w:p>
      <w:pPr>
        <w:pStyle w:val="BodyText"/>
      </w:pPr>
      <w:r>
        <w:rPr>
          <w:b/>
          <w:bCs/>
        </w:rPr>
        <w:t xml:space="preserve">Gap critico 2 — Djanet-Bardai (circa 750 km con copertura marginale):</w:t>
      </w:r>
      <w:r>
        <w:t xml:space="preserve"> </w:t>
      </w:r>
      <w:r>
        <w:t xml:space="preserve">Tra Djanet in Algeria (9.51°E) e Bardai in Ciad (17.05°E) si estende un tratto di circa 750 km. L’aeroporto di Dirkou in Niger (12.87°E, 18.97°N) si trova appena al di sotto del limite dei 300 km a sud, offrendo solo una copertura marginale per la porzione meridionale di questo segmento.</w:t>
      </w:r>
    </w:p>
    <w:p>
      <w:pPr>
        <w:pStyle w:val="BodyText"/>
      </w:pPr>
      <w:r>
        <w:rPr>
          <w:b/>
          <w:bCs/>
        </w:rPr>
        <w:t xml:space="preserve">Gap critico 3 — Mali occidentale-Mauritania orientale (circa 600 km):</w:t>
      </w:r>
      <w:r>
        <w:t xml:space="preserve"> </w:t>
      </w:r>
      <w:r>
        <w:t xml:space="preserve">Tra Tessalit/Bordj Badji Mokhtar (circa 1°E) e Zouérat (-12.48°W) si estende un tratto di oltre 1.300 km con un solo aeroporto intermedio non confermato. Il segmento centrale del Mali settentrionale presenta un gap significativo.</w:t>
      </w:r>
    </w:p>
    <w:p>
      <w:pPr>
        <w:pStyle w:val="BodyText"/>
      </w:pPr>
      <w:r>
        <w:t xml:space="preserve">Un fattore aggravante è che diverse strutture aeroportuali si trovano in zone di conflitto attivo, rendendo il loro stato operativo incerto: Maaten al-Sarra (Libia), Tessalit (Mali) e Bardai (Ciad) potrebbero non essere accessibili per operazioni SAR nel 2030.</w:t>
      </w:r>
    </w:p>
    <w:bookmarkEnd w:id="48"/>
    <w:bookmarkStart w:id="55" w:name="risorse-sar-per-paese"/>
    <w:p>
      <w:pPr>
        <w:pStyle w:val="Heading2"/>
      </w:pPr>
      <w:r>
        <w:t xml:space="preserve">Risorse SAR per Paese</w:t>
      </w:r>
    </w:p>
    <w:p>
      <w:pPr>
        <w:pStyle w:val="FirstParagraph"/>
      </w:pPr>
      <w:r>
        <w:t xml:space="preserve">La capacità di risposta SAR varia drasticamente tra i paesi attraversati, con una netta divisione tra le nazioni con risorse aeree significative (Egitto e Algeria) e quelle con capacità minime o inesistenti.</w:t>
      </w:r>
    </w:p>
    <w:p>
      <w:pPr>
        <w:pStyle w:val="BodyText"/>
      </w:pPr>
      <w:r>
        <w:rPr>
          <w:b/>
          <w:bCs/>
        </w:rPr>
        <w:t xml:space="preserve">Egitto</w:t>
      </w:r>
      <w:r>
        <w:t xml:space="preserve"> </w:t>
      </w:r>
      <w:r>
        <w:t xml:space="preserve">dispone della forza aerea più robusta della regione con circa 30.000 effettivi. L’Egyptian Air Force conduce operazioni SAR internazionali nel deserto, nel Mediterraneo e nel Mar Rosso come missione secondaria [</w:t>
      </w:r>
      <w:hyperlink r:id="rId28">
        <w:r>
          <w:rPr>
            <w:rStyle w:val="Hyperlink"/>
          </w:rPr>
          <w:t xml:space="preserve">7</w:t>
        </w:r>
      </w:hyperlink>
      <w:r>
        <w:t xml:space="preserve">]. La flotta elicotteristica comprende AH-64D/E Apache, Ka-52, CH-47D Chinook, UH-60M, AW139, AW149, AW189 e Mi-8/17, garantendo una copertura eccellente per il segmento egiziano della rotta.</w:t>
      </w:r>
    </w:p>
    <w:p>
      <w:pPr>
        <w:pStyle w:val="BodyText"/>
      </w:pPr>
      <w:r>
        <w:rPr>
          <w:b/>
          <w:bCs/>
        </w:rPr>
        <w:t xml:space="preserve">Algeria</w:t>
      </w:r>
      <w:r>
        <w:t xml:space="preserve"> </w:t>
      </w:r>
      <w:r>
        <w:t xml:space="preserve">possiede la più grande flotta elicotteristica della regione con ruolo SAR dedicato: circa 104 Mi-8AMTSh/Mi-17 con ruolo esplicito di CSAR/SAR/Medevac, 11 AgustaWestland AW139 per CSAR e 3 Kamov Ka-32T specificamente per SAR [</w:t>
      </w:r>
      <w:hyperlink r:id="rId28">
        <w:r>
          <w:rPr>
            <w:rStyle w:val="Hyperlink"/>
          </w:rPr>
          <w:t xml:space="preserve">7</w:t>
        </w:r>
      </w:hyperlink>
      <w:r>
        <w:t xml:space="preserve">]. Tamanrasset funge da base aerea meridionale principale. L’Algeria dispone inoltre della Protection Civile come agenzia di protezione civile. La copertura algerina è la più affidabile per il segmento centrale della rotta.</w:t>
      </w:r>
    </w:p>
    <w:p>
      <w:pPr>
        <w:pStyle w:val="BodyText"/>
      </w:pPr>
      <w:r>
        <w:rPr>
          <w:b/>
          <w:bCs/>
        </w:rPr>
        <w:t xml:space="preserve">Libia</w:t>
      </w:r>
      <w:r>
        <w:t xml:space="preserve"> </w:t>
      </w:r>
      <w:r>
        <w:t xml:space="preserve">presenta capacità SAR gravemente degradate a causa della guerra civile. La Guardia Costiera Navale Libica conduce operazioni di soccorso marittimo limitate, ma non esistono risorse SAR terrestri affidabili nel sud del paese. L’IOM Libya fornisce risposta alle crisi includendo assistenza diretta e soccorso [</w:t>
      </w:r>
      <w:hyperlink r:id="rId49">
        <w:r>
          <w:rPr>
            <w:rStyle w:val="Hyperlink"/>
          </w:rPr>
          <w:t xml:space="preserve">21</w:t>
        </w:r>
      </w:hyperlink>
      <w:r>
        <w:t xml:space="preserve">].</w:t>
      </w:r>
    </w:p>
    <w:p>
      <w:pPr>
        <w:pStyle w:val="BodyText"/>
      </w:pPr>
      <w:r>
        <w:rPr>
          <w:b/>
          <w:bCs/>
        </w:rPr>
        <w:t xml:space="preserve">Ciad, Niger, Mali e Mauritania</w:t>
      </w:r>
      <w:r>
        <w:t xml:space="preserve"> </w:t>
      </w:r>
      <w:r>
        <w:t xml:space="preserve">dispongono tutti di capacità aeree indigene minime. Il Ciad ha una forza aerea limitata con pochi elicotteri; il Niger ha perso l’accesso alla base americana di Agadez restituita nell’agosto 2024 [</w:t>
      </w:r>
      <w:hyperlink r:id="rId28">
        <w:r>
          <w:rPr>
            <w:rStyle w:val="Hyperlink"/>
          </w:rPr>
          <w:t xml:space="preserve">7</w:t>
        </w:r>
      </w:hyperlink>
      <w:r>
        <w:t xml:space="preserve">]; il Mali ha visto il ritiro di MINUSMA nel 2023; la Mauritania ha risorse aeree limitate.</w:t>
      </w:r>
    </w:p>
    <w:p>
      <w:pPr>
        <w:pStyle w:val="BodyText"/>
      </w:pPr>
      <w:r>
        <w:rPr>
          <w:b/>
          <w:bCs/>
        </w:rPr>
        <w:t xml:space="preserve">IOM (Organizzazione Internazionale per le Migrazioni)</w:t>
      </w:r>
      <w:r>
        <w:t xml:space="preserve"> </w:t>
      </w:r>
      <w:r>
        <w:t xml:space="preserve">rappresenta il principale fornitore di SAR nel deserto del Niger settentrionale attraverso il Migrant Resource and Response Mechanism (MRRM), avendo soccorso quasi 20.000 migranti dal 2016 [</w:t>
      </w:r>
      <w:hyperlink r:id="rId31">
        <w:r>
          <w:rPr>
            <w:rStyle w:val="Hyperlink"/>
          </w:rPr>
          <w:t xml:space="preserve">10</w:t>
        </w:r>
      </w:hyperlink>
      <w:r>
        <w:t xml:space="preserve">]. L’IOM opera congiuntamente con il Dipartimento di Protezione Civile del Niger, coprendo le rotte nel deserto del Ténéré e nelle aree di confine con Libia e Algeria [</w:t>
      </w:r>
      <w:hyperlink r:id="rId50">
        <w:r>
          <w:rPr>
            <w:rStyle w:val="Hyperlink"/>
          </w:rPr>
          <w:t xml:space="preserve">22</w:t>
        </w:r>
      </w:hyperlink>
      <w:r>
        <w:t xml:space="preserve">]. Il programma SSS II ha fornito supporto salvavita a 35.000 migranti in situazioni estremamente vulnerabili [</w:t>
      </w:r>
      <w:hyperlink r:id="rId51">
        <w:r>
          <w:rPr>
            <w:rStyle w:val="Hyperlink"/>
          </w:rPr>
          <w:t xml:space="preserve">23</w:t>
        </w:r>
      </w:hyperlink>
      <w:r>
        <w:t xml:space="preserve">].</w:t>
      </w:r>
    </w:p>
    <w:p>
      <w:pPr>
        <w:pStyle w:val="BodyText"/>
      </w:pPr>
      <w:r>
        <w:t xml:space="preserve">Un vuoto critico è emerso dopo il ritiro delle forze francesi (Operazione Barkhane, terminata nel novembre 2022) e statunitensi (2024) dal Sahel. L’Operazione Barkhane operava con sede a N’Djamena e forniva capacità di soccorso elicotteristico transfrontaliero attraverso cinque paesi nell’ambito del G5 Sahel [</w:t>
      </w:r>
      <w:hyperlink r:id="rId28">
        <w:r>
          <w:rPr>
            <w:rStyle w:val="Hyperlink"/>
          </w:rPr>
          <w:t xml:space="preserve">7</w:t>
        </w:r>
      </w:hyperlink>
      <w:r>
        <w:t xml:space="preserve">]. Nessuna forza multinazionale equivalente ha sostituito queste risorse nella regione.</w:t>
      </w:r>
    </w:p>
    <w:p>
      <w:pPr>
        <w:pStyle w:val="BodyText"/>
      </w:pPr>
      <w:r>
        <w:t xml:space="preserve">Per quanto riguarda i meccanismi di coordinamento, l’ICAO Annex 12 stabilisce il quadro internazionale che richiede agli stati contraenti di mantenere servizi SAR nei propri territori, con disposizioni che permettono l’ingresso immediato di unità SAR da altri stati [</w:t>
      </w:r>
      <w:hyperlink r:id="rId52">
        <w:r>
          <w:rPr>
            <w:rStyle w:val="Hyperlink"/>
          </w:rPr>
          <w:t xml:space="preserve">24</w:t>
        </w:r>
      </w:hyperlink>
      <w:r>
        <w:t xml:space="preserve">]. L’ASECNA (Agenzia per la Sicurezza della Navigazione Aerea in Africa e Madagascar), con sede a Dakar, fornisce controllo del traffico aereo e coordinamento attraverso gli stati francofoni dell’Africa occidentale e centrale, inclusi Niger, Mali, Mauritania e Ciad [</w:t>
      </w:r>
      <w:hyperlink r:id="rId53">
        <w:r>
          <w:rPr>
            <w:rStyle w:val="Hyperlink"/>
          </w:rPr>
          <w:t xml:space="preserve">25</w:t>
        </w:r>
      </w:hyperlink>
      <w:r>
        <w:t xml:space="preserve">]. L’AFCAC (Commissione Africana dell’Aviazione Civile) ha incaricato il proprio Bureau di lavorare al miglioramento dei servizi SAR in Africa in stretta cooperazione con l’ICAO [</w:t>
      </w:r>
      <w:hyperlink r:id="rId54">
        <w:r>
          <w:rPr>
            <w:rStyle w:val="Hyperlink"/>
          </w:rPr>
          <w:t xml:space="preserve">26</w:t>
        </w:r>
      </w:hyperlink>
      <w:r>
        <w:t xml:space="preserve">].</w:t>
      </w:r>
    </w:p>
    <w:bookmarkEnd w:id="55"/>
    <w:bookmarkStart w:id="66" w:name="Xba554c143a51fbb15c1e2065e78c12753fe81ad"/>
    <w:p>
      <w:pPr>
        <w:pStyle w:val="Heading2"/>
      </w:pPr>
      <w:r>
        <w:t xml:space="preserve">Analisi dei Rischi: Zone di Conflitto, Mine e Aree Interdette</w:t>
      </w:r>
    </w:p>
    <w:p>
      <w:pPr>
        <w:pStyle w:val="FirstParagraph"/>
      </w:pPr>
      <w:r>
        <w:t xml:space="preserve">La rotta lungo il parallelo 23.026°N attraversa alcune delle aree più instabili e pericolose del continente africano. L’analisi dei rischi rivela minacce multiple e sovrapposte che richiedono una pianificazione di sicurezza estremamente rigorosa.</w:t>
      </w:r>
    </w:p>
    <w:p>
      <w:pPr>
        <w:pStyle w:val="BodyText"/>
      </w:pPr>
      <w:r>
        <w:rPr>
          <w:b/>
          <w:bCs/>
        </w:rPr>
        <w:t xml:space="preserve">Libia meridionale (Fezzan):</w:t>
      </w:r>
      <w:r>
        <w:t xml:space="preserve"> </w:t>
      </w:r>
      <w:r>
        <w:t xml:space="preserve">Le forze LAAF di Haftar hanno consolidato il controllo del Fezzan ma affrontano attacchi continui. Nel luglio 2026, il Southern Liberation Operations Room (SLOR) ha attaccato il checkpoint di Arandega a sud di Gatrun [</w:t>
      </w:r>
      <w:hyperlink r:id="rId33">
        <w:r>
          <w:rPr>
            <w:rStyle w:val="Hyperlink"/>
          </w:rPr>
          <w:t xml:space="preserve">12</w:t>
        </w:r>
      </w:hyperlink>
      <w:r>
        <w:t xml:space="preserve">]. Lo Stato Islamico-Provincia del Fezzan rimane nominalmente attivo con cellule minori persistenti al 2025 [</w:t>
      </w:r>
      <w:hyperlink r:id="rId28">
        <w:r>
          <w:rPr>
            <w:rStyle w:val="Hyperlink"/>
          </w:rPr>
          <w:t xml:space="preserve">7</w:t>
        </w:r>
      </w:hyperlink>
      <w:r>
        <w:t xml:space="preserve">]. La situazione securitaria resta fragile con gruppi armati che operano impunemente nel sud della Libia [</w:t>
      </w:r>
      <w:hyperlink r:id="rId56">
        <w:r>
          <w:rPr>
            <w:rStyle w:val="Hyperlink"/>
          </w:rPr>
          <w:t xml:space="preserve">27</w:t>
        </w:r>
      </w:hyperlink>
      <w:r>
        <w:t xml:space="preserve">].</w:t>
      </w:r>
    </w:p>
    <w:p>
      <w:pPr>
        <w:pStyle w:val="BodyText"/>
      </w:pPr>
      <w:r>
        <w:rPr>
          <w:b/>
          <w:bCs/>
        </w:rPr>
        <w:t xml:space="preserve">Mali settentrionale:</w:t>
      </w:r>
      <w:r>
        <w:t xml:space="preserve"> </w:t>
      </w:r>
      <w:r>
        <w:t xml:space="preserve">Rappresenta forse il segmento più pericoloso dell’intera rotta. JNIM e il Fronte di Liberazione dell’Azawad (FLA) hanno lanciato un’offensiva congiunta massiccia nell’aprile 2026, conquistando Kidal e Gao [</w:t>
      </w:r>
      <w:hyperlink r:id="rId32">
        <w:r>
          <w:rPr>
            <w:rStyle w:val="Hyperlink"/>
          </w:rPr>
          <w:t xml:space="preserve">11</w:t>
        </w:r>
      </w:hyperlink>
      <w:r>
        <w:t xml:space="preserve">]. Il Sahel ha registrato circa 10.400 morti legati alla violenza islamista militante nel 2024 [</w:t>
      </w:r>
      <w:hyperlink r:id="rId57">
        <w:r>
          <w:rPr>
            <w:rStyle w:val="Hyperlink"/>
          </w:rPr>
          <w:t xml:space="preserve">28</w:t>
        </w:r>
      </w:hyperlink>
      <w:r>
        <w:t xml:space="preserve">].</w:t>
      </w:r>
    </w:p>
    <w:p>
      <w:pPr>
        <w:pStyle w:val="BodyText"/>
      </w:pPr>
      <w:r>
        <w:rPr>
          <w:b/>
          <w:bCs/>
        </w:rPr>
        <w:t xml:space="preserve">Niger settentrionale:</w:t>
      </w:r>
      <w:r>
        <w:t xml:space="preserve"> </w:t>
      </w:r>
      <w:r>
        <w:t xml:space="preserve">Lo Stato Islamico Provincia del Sahel (ISSP) ha condotto una delle sue operazioni più letali contro le forze di sicurezza nigerine nel 2026, cercando di espandere le proprie zone di supporto verso sud dal confine Mali-Niger [</w:t>
      </w:r>
      <w:hyperlink r:id="rId58">
        <w:r>
          <w:rPr>
            <w:rStyle w:val="Hyperlink"/>
          </w:rPr>
          <w:t xml:space="preserve">29</w:t>
        </w:r>
      </w:hyperlink>
      <w:r>
        <w:t xml:space="preserve">].</w:t>
      </w:r>
    </w:p>
    <w:p>
      <w:pPr>
        <w:pStyle w:val="BodyText"/>
      </w:pPr>
      <w:r>
        <w:rPr>
          <w:b/>
          <w:bCs/>
        </w:rPr>
        <w:t xml:space="preserve">Ciad settentrionale (Tibesti):</w:t>
      </w:r>
      <w:r>
        <w:t xml:space="preserve"> </w:t>
      </w:r>
      <w:r>
        <w:t xml:space="preserve">La regione del Tibesti rimane una zona interdetta dominata da gruppi armati, trafficanti di droga e minatori artigianali. Il gruppo ribelle FACT, basato in Libia, ha lanciato un’offensiva dal Tibesti nel 2021 e gli scontri continuano nel nord del paese [</w:t>
      </w:r>
      <w:hyperlink r:id="rId28">
        <w:r>
          <w:rPr>
            <w:rStyle w:val="Hyperlink"/>
          </w:rPr>
          <w:t xml:space="preserve">7</w:t>
        </w:r>
      </w:hyperlink>
      <w:r>
        <w:t xml:space="preserve">].</w:t>
      </w:r>
    </w:p>
    <w:p>
      <w:pPr>
        <w:pStyle w:val="BodyText"/>
      </w:pPr>
      <w:r>
        <w:rPr>
          <w:b/>
          <w:bCs/>
        </w:rPr>
        <w:t xml:space="preserve">Sahara Occidentale:</w:t>
      </w:r>
      <w:r>
        <w:t xml:space="preserve"> </w:t>
      </w:r>
      <w:r>
        <w:t xml:space="preserve">Il cessate il fuoco del 1991 è crollato nel novembre 2020. L’SPLA del Polisario rivendica attacchi regolari sulle posizioni marocchine lungo la berma, e attacchi con droni marocchini hanno ucciso 21 soldati del Polisario tra ottobre 2024 e settembre 2025 [</w:t>
      </w:r>
      <w:hyperlink r:id="rId28">
        <w:r>
          <w:rPr>
            <w:rStyle w:val="Hyperlink"/>
          </w:rPr>
          <w:t xml:space="preserve">7</w:t>
        </w:r>
      </w:hyperlink>
      <w:r>
        <w:t xml:space="preserve">].</w:t>
      </w:r>
    </w:p>
    <w:bookmarkStart w:id="61" w:name="contaminazione-da-mine"/>
    <w:p>
      <w:pPr>
        <w:pStyle w:val="Heading3"/>
      </w:pPr>
      <w:r>
        <w:t xml:space="preserve">Contaminazione da Mine</w:t>
      </w:r>
    </w:p>
    <w:p>
      <w:pPr>
        <w:pStyle w:val="FirstParagraph"/>
      </w:pPr>
      <w:r>
        <w:t xml:space="preserve">La contaminazione da mine terrestri rappresenta un rischio letale lungo diversi segmenti della rotta. In Libia, oltre 444 milioni di metri quadrati di territorio sono contaminati da mine e residuati bellici, includendo mine della Seconda Guerra Mondiale e ordigni posati da forze alleate di Haftar e mercenari russi [</w:t>
      </w:r>
      <w:hyperlink r:id="rId59">
        <w:r>
          <w:rPr>
            <w:rStyle w:val="Hyperlink"/>
          </w:rPr>
          <w:t xml:space="preserve">30</w:t>
        </w:r>
      </w:hyperlink>
      <w:r>
        <w:t xml:space="preserve">]. In Ciad, più di 96 km² di territorio sono contaminati o sospetti contaminati, principalmente dalla invasione libica del 1973 e da oltre 30 anni di conflitto interno, concentrati nelle regioni settentrionali di Tibesti, Borkou ed Ennedi lungo il confine libico [</w:t>
      </w:r>
      <w:hyperlink r:id="rId60">
        <w:r>
          <w:rPr>
            <w:rStyle w:val="Hyperlink"/>
          </w:rPr>
          <w:t xml:space="preserve">31</w:t>
        </w:r>
      </w:hyperlink>
      <w:r>
        <w:t xml:space="preserve">]. Nel Sahara Occidentale, la berma marocchina di 2.700 km è fiancheggiata da un numero stimato tra 5 e 10 milioni di mine terrestri su entrambi i lati del tratto più contaminato di 1.465 km [</w:t>
      </w:r>
      <w:hyperlink r:id="rId28">
        <w:r>
          <w:rPr>
            <w:rStyle w:val="Hyperlink"/>
          </w:rPr>
          <w:t xml:space="preserve">7</w:t>
        </w:r>
      </w:hyperlink>
      <w:r>
        <w:t xml:space="preserve">,</w:t>
      </w:r>
      <w:r>
        <w:t xml:space="preserve"> </w:t>
      </w:r>
      <w:hyperlink r:id="rId34">
        <w:r>
          <w:rPr>
            <w:rStyle w:val="Hyperlink"/>
          </w:rPr>
          <w:t xml:space="preserve">13</w:t>
        </w:r>
      </w:hyperlink>
      <w:r>
        <w:t xml:space="preserve">].</w:t>
      </w:r>
    </w:p>
    <w:bookmarkEnd w:id="61"/>
    <w:bookmarkStart w:id="65" w:name="zone-interdette-al-transito-civile"/>
    <w:p>
      <w:pPr>
        <w:pStyle w:val="Heading3"/>
      </w:pPr>
      <w:r>
        <w:t xml:space="preserve">Zone Interdette al Transito Civile</w:t>
      </w:r>
    </w:p>
    <w:p>
      <w:pPr>
        <w:pStyle w:val="FirstParagraph"/>
      </w:pPr>
      <w:r>
        <w:t xml:space="preserve">Il Dipartimento di Stato USA sconsiglia i viaggi entro 250 km dai confini algerini con Libia, Niger, Mali e Mauritania a causa di attività terroristiche e criminali [</w:t>
      </w:r>
      <w:hyperlink r:id="rId62">
        <w:r>
          <w:rPr>
            <w:rStyle w:val="Hyperlink"/>
          </w:rPr>
          <w:t xml:space="preserve">32</w:t>
        </w:r>
      </w:hyperlink>
      <w:r>
        <w:t xml:space="preserve">]. Il Canada sconsiglia qualsiasi viaggio nelle regioni settentrionali del Ciad (Tibesti, Ennedi e Borkou) [</w:t>
      </w:r>
      <w:hyperlink r:id="rId63">
        <w:r>
          <w:rPr>
            <w:rStyle w:val="Hyperlink"/>
          </w:rPr>
          <w:t xml:space="preserve">33</w:t>
        </w:r>
      </w:hyperlink>
      <w:r>
        <w:t xml:space="preserve">], mentre l’OSAC statunitense avverte contro i viaggi ai confini del Ciad con la Libia a causa di conflitti armati e campi minati [</w:t>
      </w:r>
      <w:hyperlink r:id="rId64">
        <w:r>
          <w:rPr>
            <w:rStyle w:val="Hyperlink"/>
          </w:rPr>
          <w:t xml:space="preserve">34</w:t>
        </w:r>
      </w:hyperlink>
      <w:r>
        <w:t xml:space="preserve">]. Il Marocco tratta la zona controllata dal Polisario a est della berma come zona cuscinetto militare [</w:t>
      </w:r>
      <w:hyperlink r:id="rId28">
        <w:r>
          <w:rPr>
            <w:rStyle w:val="Hyperlink"/>
          </w:rPr>
          <w:t xml:space="preserve">7</w:t>
        </w:r>
      </w:hyperlink>
      <w:r>
        <w:t xml:space="preserve">].</w:t>
      </w:r>
    </w:p>
    <w:bookmarkEnd w:id="65"/>
    <w:bookmarkEnd w:id="66"/>
    <w:bookmarkStart w:id="71" w:name="X40717d35b62b3f64d348f0e6c2b5530d8eccd4d"/>
    <w:p>
      <w:pPr>
        <w:pStyle w:val="Heading2"/>
      </w:pPr>
      <w:r>
        <w:t xml:space="preserve">Raccomandazioni Operative: Comunicazioni e Localizzazione</w:t>
      </w:r>
    </w:p>
    <w:p>
      <w:pPr>
        <w:pStyle w:val="FirstParagraph"/>
      </w:pPr>
      <w:r>
        <w:t xml:space="preserve">Il sistema di comunicazione e localizzazione del convoglio deve garantire ridondanza multipla, considerando l’assenza di copertura cellulare lungo l’intera rotta e i gap SAR identificati.</w:t>
      </w:r>
    </w:p>
    <w:p>
      <w:pPr>
        <w:pStyle w:val="BodyText"/>
      </w:pPr>
      <w:r>
        <w:rPr>
          <w:b/>
          <w:bCs/>
        </w:rPr>
        <w:t xml:space="preserve">Telefoni satellitari (primari):</w:t>
      </w:r>
      <w:r>
        <w:t xml:space="preserve"> </w:t>
      </w:r>
      <w:r>
        <w:t xml:space="preserve">Almeno 2 Iridium Extreme distribuiti tra veicolo di testa e veicolo di coda. Il sistema Iridium, basato su 66 satelliti LEO, garantisce copertura globale vera incluse le regioni polari [</w:t>
      </w:r>
      <w:hyperlink r:id="rId28">
        <w:r>
          <w:rPr>
            <w:rStyle w:val="Hyperlink"/>
          </w:rPr>
          <w:t xml:space="preserve">7</w:t>
        </w:r>
      </w:hyperlink>
      <w:r>
        <w:t xml:space="preserve">]. Come backup secondario, un Thuraya XT-Lite offre copertura su Nord Africa e Medio Oriente via satellite geostazionario.</w:t>
      </w:r>
    </w:p>
    <w:p>
      <w:pPr>
        <w:pStyle w:val="BodyText"/>
      </w:pPr>
      <w:r>
        <w:rPr>
          <w:b/>
          <w:bCs/>
        </w:rPr>
        <w:t xml:space="preserve">Satellite messenger (uno per veicolo):</w:t>
      </w:r>
      <w:r>
        <w:t xml:space="preserve"> </w:t>
      </w:r>
      <w:r>
        <w:t xml:space="preserve">5 unità Garmin inReach Mini 2 o inReach Messenger Plus, che utilizzano la rete Iridium per copertura globale al 100%. Questi dispositivi offrono messaggistica bidirezionale, SOS con trasmissione della posizione ogni minuto per 10 minuti e poi ogni 10 minuti, e tracking continuo [</w:t>
      </w:r>
      <w:hyperlink r:id="rId28">
        <w:r>
          <w:rPr>
            <w:rStyle w:val="Hyperlink"/>
          </w:rPr>
          <w:t xml:space="preserve">7</w:t>
        </w:r>
      </w:hyperlink>
      <w:r>
        <w:t xml:space="preserve">]. È essenziale un abbonamento attivo per tutte le funzionalità incluso l’SOS [</w:t>
      </w:r>
      <w:hyperlink r:id="rId67">
        <w:r>
          <w:rPr>
            <w:rStyle w:val="Hyperlink"/>
          </w:rPr>
          <w:t xml:space="preserve">35</w:t>
        </w:r>
      </w:hyperlink>
      <w:r>
        <w:t xml:space="preserve">].</w:t>
      </w:r>
    </w:p>
    <w:p>
      <w:pPr>
        <w:pStyle w:val="BodyText"/>
      </w:pPr>
      <w:r>
        <w:rPr>
          <w:b/>
          <w:bCs/>
        </w:rPr>
        <w:t xml:space="preserve">PLB (uno per veicolo):</w:t>
      </w:r>
      <w:r>
        <w:t xml:space="preserve"> </w:t>
      </w:r>
      <w:r>
        <w:t xml:space="preserve">5 unità ACR ResQLink View che trasmettono segnale di emergenza a 406 MHz via sistema COSPAS-SARSAT con posizionamento GPS/Galileo entro 100 metri di precisione, più beacon di homing a 121.5 MHz. Ogni unità trasmette per oltre 24 ore una volta attivata [</w:t>
      </w:r>
      <w:hyperlink r:id="rId68">
        <w:r>
          <w:rPr>
            <w:rStyle w:val="Hyperlink"/>
          </w:rPr>
          <w:t xml:space="preserve">36</w:t>
        </w:r>
      </w:hyperlink>
      <w:r>
        <w:t xml:space="preserve">].</w:t>
      </w:r>
    </w:p>
    <w:p>
      <w:pPr>
        <w:pStyle w:val="BodyText"/>
      </w:pPr>
      <w:r>
        <w:rPr>
          <w:b/>
          <w:bCs/>
        </w:rPr>
        <w:t xml:space="preserve">Radio inter-veicolo:</w:t>
      </w:r>
      <w:r>
        <w:t xml:space="preserve"> </w:t>
      </w:r>
      <w:r>
        <w:t xml:space="preserve">Radio portatili UHF/VHF con potenza minima di 5W per comunicazione in tempo reale all’interno del convoglio, con portata di circa 5-10 km nel deserto piatto.</w:t>
      </w:r>
    </w:p>
    <w:bookmarkStart w:id="70" w:name="protocolli-di-comunicazione"/>
    <w:p>
      <w:pPr>
        <w:pStyle w:val="Heading3"/>
      </w:pPr>
      <w:r>
        <w:t xml:space="preserve">Protocolli di Comunicazione</w:t>
      </w:r>
    </w:p>
    <w:p>
      <w:pPr>
        <w:pStyle w:val="FirstParagraph"/>
      </w:pPr>
      <w:r>
        <w:t xml:space="preserve">Il protocollo operativo prevede quattro livelli di escalation. In condizioni normali, tutti i veicoli trasmettono la posizione via inReach a intervalli di 10 minuti durante il movimento, con check-in vocale obbligatorio via telefono satellitare al centro di coordinamento ogni 12 ore (mattina e sera) [</w:t>
      </w:r>
      <w:hyperlink r:id="rId69">
        <w:r>
          <w:rPr>
            <w:rStyle w:val="Hyperlink"/>
          </w:rPr>
          <w:t xml:space="preserve">37</w:t>
        </w:r>
      </w:hyperlink>
      <w:r>
        <w:t xml:space="preserve">]. In caso di guasto veicolo, il convoglio notifica via radio UHF e invia messaggio preimpostato inReach alla base. Per emergenze mediche, si attiva l’SOS inReach e si inizia una chiamata satellitare al centro di coordinamento. In caso di emergenza potenzialmente letale, si attiva il PLB ACR per allerta SAR indipendente via COSPAS-SARSAT [</w:t>
      </w:r>
      <w:hyperlink r:id="rId28">
        <w:r>
          <w:rPr>
            <w:rStyle w:val="Hyperlink"/>
          </w:rPr>
          <w:t xml:space="preserve">7</w:t>
        </w:r>
      </w:hyperlink>
      <w:r>
        <w:t xml:space="preserve">].</w:t>
      </w:r>
    </w:p>
    <w:p>
      <w:pPr>
        <w:pStyle w:val="BodyText"/>
      </w:pPr>
      <w:r>
        <w:t xml:space="preserve">Prima della partenza, è necessario registrare il piano di viaggio presso le autorità locali, depositare i waypoint presso ambasciata/consolato, e designare un tempo di azione per ritardo (ad esempio, 6 ore oltre il check-in programmato attivano l’allarme).</w:t>
      </w:r>
    </w:p>
    <w:bookmarkEnd w:id="70"/>
    <w:bookmarkEnd w:id="71"/>
    <w:bookmarkStart w:id="75" w:name="X10a81cfc4668ea1aeb2a678ef069c4e0e314706"/>
    <w:p>
      <w:pPr>
        <w:pStyle w:val="Heading2"/>
      </w:pPr>
      <w:r>
        <w:t xml:space="preserve">Logistica: Carburante, Acqua e Punti di Sosta Strategici</w:t>
      </w:r>
    </w:p>
    <w:p>
      <w:pPr>
        <w:pStyle w:val="FirstParagraph"/>
      </w:pPr>
      <w:r>
        <w:t xml:space="preserve">La pianificazione logistica per carburante e acqua è critica per la sopravvivenza del convoglio, considerando che lunghi tratti della rotta sono privi di qualsiasi possibilità di rifornimento.</w:t>
      </w:r>
    </w:p>
    <w:p>
      <w:pPr>
        <w:pStyle w:val="BodyText"/>
      </w:pPr>
      <w:r>
        <w:rPr>
          <w:b/>
          <w:bCs/>
        </w:rPr>
        <w:t xml:space="preserve">Carburante:</w:t>
      </w:r>
      <w:r>
        <w:t xml:space="preserve"> </w:t>
      </w:r>
      <w:r>
        <w:t xml:space="preserve">Un tipico 4x4 (Toyota Land Cruiser o Nissan Patrol) consuma circa 15 L/100 km su strada asfaltata; nella sabbia morbida il consumo aumenta del 30-50%, raggiungendo circa 20-25 L/100 km. Con un serbatoio standard da 80L più 120L in taniche (200L totali per veicolo), l’autonomia massima nella sabbia è di circa 800-1.000 km per veicolo. Per un convoglio di 5 veicoli che percorre circa 200 km/giorno, il consumo giornaliero è di circa 40-50L per veicolo, ovvero 200-250L totali per il convoglio al giorno [</w:t>
      </w:r>
      <w:hyperlink r:id="rId72">
        <w:r>
          <w:rPr>
            <w:rStyle w:val="Hyperlink"/>
          </w:rPr>
          <w:t xml:space="preserve">38</w:t>
        </w:r>
      </w:hyperlink>
      <w:r>
        <w:t xml:space="preserve">].</w:t>
      </w:r>
    </w:p>
    <w:p>
      <w:pPr>
        <w:pStyle w:val="BodyText"/>
      </w:pPr>
      <w:r>
        <w:rPr>
          <w:b/>
          <w:bCs/>
        </w:rPr>
        <w:t xml:space="preserve">Acqua:</w:t>
      </w:r>
      <w:r>
        <w:t xml:space="preserve"> </w:t>
      </w:r>
      <w:r>
        <w:t xml:space="preserve">Nel calore sahariano (40-50°C), è necessario pianificare 8-10 litri per persona al giorno per bere e cucinare con attività moderata; il lavoro fisico pesante può richiedere fino a 19 litri/giorno [</w:t>
      </w:r>
      <w:hyperlink r:id="rId73">
        <w:r>
          <w:rPr>
            <w:rStyle w:val="Hyperlink"/>
          </w:rPr>
          <w:t xml:space="preserve">39</w:t>
        </w:r>
      </w:hyperlink>
      <w:r>
        <w:t xml:space="preserve">]. Per 10 persone, il convoglio deve trasportare un minimo di 80-100L/giorno, più una riserva di emergenza di 3 giorni (240-300L).</w:t>
      </w:r>
    </w:p>
    <w:p>
      <w:pPr>
        <w:pStyle w:val="BodyText"/>
      </w:pPr>
      <w:r>
        <w:rPr>
          <w:b/>
          <w:bCs/>
        </w:rPr>
        <w:t xml:space="preserve">Strategia di caching:</w:t>
      </w:r>
      <w:r>
        <w:t xml:space="preserve"> </w:t>
      </w:r>
      <w:r>
        <w:t xml:space="preserve">Pre-posizionare depositi di carburante e acqua ogni 300-400 km (1,5-2 giorni di viaggio) utilizzando fusti d’acciaio sepolti o taniche pesanti marcate con coordinate GPS. I punti di cache devono essere condivisi tra tutti i veicoli e segnalati con marcatori fisici (rocce dipinte o pali). Il carburante si degrada minimamente in contenitori metallici sigillati per 6-12 mesi; l’acqua deve essere conservata in contenitori opachi per uso alimentare [</w:t>
      </w:r>
      <w:hyperlink r:id="rId72">
        <w:r>
          <w:rPr>
            <w:rStyle w:val="Hyperlink"/>
          </w:rPr>
          <w:t xml:space="preserve">38</w:t>
        </w:r>
      </w:hyperlink>
      <w:r>
        <w:t xml:space="preserve">].</w:t>
      </w:r>
    </w:p>
    <w:bookmarkStart w:id="74" w:name="punti-di-sosta-strategici-raccomandati"/>
    <w:p>
      <w:pPr>
        <w:pStyle w:val="Heading3"/>
      </w:pPr>
      <w:r>
        <w:t xml:space="preserve">Punti di Sosta Strategici Raccomandati</w:t>
      </w:r>
    </w:p>
    <w:p>
      <w:pPr>
        <w:pStyle w:val="FirstParagraph"/>
      </w:pPr>
      <w:r>
        <w:t xml:space="preserve">Basandosi sulla distribuzione degli aeroporti e sulla logistica del carburante, i punti di sosta strategici raccomandati lungo la rotta includono: Assuan (rifornimento completo e ultimo punto con infrastrutture moderne), Kufra (rifornimento carburante e acqua, ultimo avamposto prima del gap critico), Bardai (se accessibile — punto di sosta nel Tibesti), Djanet (rifornimento completo in territorio algerino sicuro), Tamanrasset (hub logistico principale per il segmento centrale), Bordj Badji Mokhtar (ultimo punto algerino prima del Mali), Zouérat (primo punto di rifornimento in Mauritania dopo il lungo tratto maliano), e Dakhla (punto finale prima della costa atlantica). La distanza tra Bordj Badji Mokhtar e Zouérat (circa 1.300 km) richiede almeno 3-4 depositi intermedi pre-posizionati.</w:t>
      </w:r>
    </w:p>
    <w:bookmarkEnd w:id="74"/>
    <w:bookmarkEnd w:id="75"/>
    <w:bookmarkStart w:id="76" w:name="X0edb1c80fa78e59f6be1d287957b13c2a193830"/>
    <w:p>
      <w:pPr>
        <w:pStyle w:val="Heading2"/>
      </w:pPr>
      <w:r>
        <w:t xml:space="preserve">Requisiti Normativi e Accordi di Coordinamento Internazionale</w:t>
      </w:r>
    </w:p>
    <w:p>
      <w:pPr>
        <w:pStyle w:val="FirstParagraph"/>
      </w:pPr>
      <w:r>
        <w:t xml:space="preserve">La traversata richiede un complesso insieme di autorizzazioni, permessi e accordi formali con le autorità di ciascun paese attraversato.</w:t>
      </w:r>
    </w:p>
    <w:p>
      <w:pPr>
        <w:pStyle w:val="BodyText"/>
      </w:pPr>
      <w:r>
        <w:rPr>
          <w:b/>
          <w:bCs/>
        </w:rPr>
        <w:t xml:space="preserve">Permessi per paese:</w:t>
      </w:r>
      <w:r>
        <w:t xml:space="preserve"> </w:t>
      </w:r>
      <w:r>
        <w:t xml:space="preserve">Ogni stato richiede visti specifici, permessi di circolazione per veicoli stranieri, e in molti casi autorizzazioni militari per il transito in zone sensibili. L’Algeria richiede permessi specifici per il viaggio nelle regioni meridionali entro 250 km dai confini [</w:t>
      </w:r>
      <w:hyperlink r:id="rId62">
        <w:r>
          <w:rPr>
            <w:rStyle w:val="Hyperlink"/>
          </w:rPr>
          <w:t xml:space="preserve">32</w:t>
        </w:r>
      </w:hyperlink>
      <w:r>
        <w:t xml:space="preserve">]. Il Ciad richiede autorizzazioni militari per il Tibesti. La Libia, in assenza di un governo unificato, presenta sfide particolari per l’ottenimento di permessi validi su tutto il territorio. Il Niger richiede scorte militari per il transito nel nord. Il Sahara Occidentale richiede coordinamento sia con il Marocco che con il Polisario a seconda del percorso scelto rispetto alla berma.</w:t>
      </w:r>
    </w:p>
    <w:p>
      <w:pPr>
        <w:pStyle w:val="BodyText"/>
      </w:pPr>
      <w:r>
        <w:rPr>
          <w:b/>
          <w:bCs/>
        </w:rPr>
        <w:t xml:space="preserve">Coordinamento SAR transfrontaliero:</w:t>
      </w:r>
      <w:r>
        <w:t xml:space="preserve"> </w:t>
      </w:r>
      <w:r>
        <w:t xml:space="preserve">L’ICAO Annex 12 fornisce il quadro giuridico per l’ingresso immediato di unità SAR di altri stati nel territorio nazionale per la ricerca di incidenti aerei e il soccorso dei sopravvissuti [</w:t>
      </w:r>
      <w:hyperlink r:id="rId52">
        <w:r>
          <w:rPr>
            <w:rStyle w:val="Hyperlink"/>
          </w:rPr>
          <w:t xml:space="preserve">24</w:t>
        </w:r>
      </w:hyperlink>
      <w:r>
        <w:t xml:space="preserve">]. Tuttavia, questo quadro è progettato per incidenti aerei e la sua applicabilità a spedizioni terrestri private richiede accordi bilaterali specifici. L’ASECNA coordina la navigazione aerea attraverso gli stati francofoni [</w:t>
      </w:r>
      <w:hyperlink r:id="rId53">
        <w:r>
          <w:rPr>
            <w:rStyle w:val="Hyperlink"/>
          </w:rPr>
          <w:t xml:space="preserve">25</w:t>
        </w:r>
      </w:hyperlink>
      <w:r>
        <w:t xml:space="preserve">], ma non ha mandato SAR terrestre.</w:t>
      </w:r>
    </w:p>
    <w:p>
      <w:pPr>
        <w:pStyle w:val="BodyText"/>
      </w:pPr>
      <w:r>
        <w:rPr>
          <w:b/>
          <w:bCs/>
        </w:rPr>
        <w:t xml:space="preserve">Raccomandazioni per gli accordi:</w:t>
      </w:r>
      <w:r>
        <w:t xml:space="preserve"> </w:t>
      </w:r>
      <w:r>
        <w:t xml:space="preserve">È essenziale stipulare accordi preventivi con le forze armate egiziane e algerine per l’attivazione di risorse SAR in caso di emergenza, registrare il convoglio presso tutte le ambasciate pertinenti lungo la rotta, coordinare con l’IOM Niger per il segmento del Ténéré, e stabilire un centro di coordinamento operativo (preferibilmente in Algeria, data la posizione centrale e le risorse disponibili) con linee di comunicazione dirette verso le autorità SAR di ciascun paese.</w:t>
      </w:r>
    </w:p>
    <w:bookmarkEnd w:id="76"/>
    <w:bookmarkStart w:id="77" w:name="conclusioni-e-valutazione-complessiva"/>
    <w:p>
      <w:pPr>
        <w:pStyle w:val="Heading2"/>
      </w:pPr>
      <w:r>
        <w:t xml:space="preserve">Conclusioni e Valutazione Complessiva</w:t>
      </w:r>
    </w:p>
    <w:p>
      <w:pPr>
        <w:pStyle w:val="FirstParagraph"/>
      </w:pPr>
      <w:r>
        <w:t xml:space="preserve">La traversata del Sahara lungo il parallelo 23.026°N presenta rischi SAR estremamente elevati, con gap di copertura che si estendono per centinaia di chilometri in zone dove nessun elicottero può raggiungere il convoglio. I segmenti più critici sono il tratto Bardai-Kufra in Libia/Ciad e l’attraversamento del Mali settentrionale, dove ai gap infrastrutturali si sommano minacce di sicurezza attive da parte di gruppi jihadisti e ribelli.</w:t>
      </w:r>
    </w:p>
    <w:p>
      <w:pPr>
        <w:pStyle w:val="BodyText"/>
      </w:pPr>
      <w:r>
        <w:t xml:space="preserve">La fattibilità della missione dipende in modo critico dalla capacità di pre-posizionare depositi logistici, ottenere accordi formali con le forze armate egiziane e algerine, e dalla possibilità di deviare la rotta per evitare le zone di conflitto più acute (in particolare il Mali settentrionale). Si raccomanda fortemente di considerare varianti di rotta che massimizzino il tempo trascorso in territorio algerino, dove le risorse SAR sono più affidabili, e di pianificare il segmento maliano solo se la situazione di sicurezza migliora significativamente entro il 2030. L’equipaggiamento di comunicazione satellitare e i PLB rappresentano l’ultima linea di difesa nei gap di copertura e devono essere mantenuti in perfetto stato operativo per l’intera durata della traversata.</w:t>
      </w:r>
    </w:p>
    <w:bookmarkEnd w:id="77"/>
    <w:bookmarkStart w:id="78" w:name="references"/>
    <w:p>
      <w:pPr>
        <w:pStyle w:val="Heading2"/>
      </w:pPr>
      <w:r>
        <w:t xml:space="preserve">References</w:t>
      </w:r>
    </w:p>
    <w:p>
      <w:pPr>
        <w:pStyle w:val="FirstParagraph"/>
      </w:pPr>
      <w:r>
        <w:t xml:space="preserve">1. https://skyvector.com/airport/HESN/Aswan-Airport</w:t>
      </w:r>
    </w:p>
    <w:p>
      <w:pPr>
        <w:pStyle w:val="BodyText"/>
      </w:pPr>
      <w:r>
        <w:t xml:space="preserve">2. https://metar-taf.com/airport/HLKF</w:t>
      </w:r>
    </w:p>
    <w:p>
      <w:pPr>
        <w:pStyle w:val="BodyText"/>
      </w:pPr>
      <w:r>
        <w:t xml:space="preserve">3. https://metar-taf.com/airport/DAAT</w:t>
      </w:r>
    </w:p>
    <w:p>
      <w:pPr>
        <w:pStyle w:val="BodyText"/>
      </w:pPr>
      <w:r>
        <w:t xml:space="preserve">4. https://metar-taf.com/airport/GATS</w:t>
      </w:r>
    </w:p>
    <w:p>
      <w:pPr>
        <w:pStyle w:val="BodyText"/>
      </w:pPr>
      <w:r>
        <w:t xml:space="preserve">5. https://planemapper.com/airports/OUZ</w:t>
      </w:r>
    </w:p>
    <w:p>
      <w:pPr>
        <w:pStyle w:val="BodyText"/>
      </w:pPr>
      <w:r>
        <w:t xml:space="preserve">6. https://metar-taf.com/airport/MR-0011-bir-moghrein-airport</w:t>
      </w:r>
    </w:p>
    <w:p>
      <w:pPr>
        <w:pStyle w:val="BodyText"/>
      </w:pPr>
      <w:r>
        <w:t xml:space="preserve">7. Source: wikipedia.org</w:t>
      </w:r>
    </w:p>
    <w:p>
      <w:pPr>
        <w:pStyle w:val="BodyText"/>
      </w:pPr>
      <w:r>
        <w:t xml:space="preserve">8. https://www.world-airport-codes.com/libya/matan-al-sarra-air-base-65497.html</w:t>
      </w:r>
    </w:p>
    <w:p>
      <w:pPr>
        <w:pStyle w:val="BodyText"/>
      </w:pPr>
      <w:r>
        <w:t xml:space="preserve">9. https://en.wikivoyage.org/wiki/w:Djanet_Inedbirene_Airport</w:t>
      </w:r>
    </w:p>
    <w:p>
      <w:pPr>
        <w:pStyle w:val="BodyText"/>
      </w:pPr>
      <w:r>
        <w:t xml:space="preserve">10. https://www.iom.int/news/close-20000-migrants-rescued-sahara-desert-beginning-operations</w:t>
      </w:r>
    </w:p>
    <w:p>
      <w:pPr>
        <w:pStyle w:val="BodyText"/>
      </w:pPr>
      <w:r>
        <w:t xml:space="preserve">11. https://www.criticalthreats.org/analysis/fall-of-northern-mali-jnim-fla-offensive-russia-issp-camara</w:t>
      </w:r>
    </w:p>
    <w:p>
      <w:pPr>
        <w:pStyle w:val="BodyText"/>
      </w:pPr>
      <w:r>
        <w:t xml:space="preserve">12. https://libyaherald.com/2026/07/southern-liberation-operations-room-slor-attacks-checkpoint-in-libyas-deep-south</w:t>
      </w:r>
    </w:p>
    <w:p>
      <w:pPr>
        <w:pStyle w:val="BodyText"/>
      </w:pPr>
      <w:r>
        <w:t xml:space="preserve">13. https://unmc.unmissions.org/en/minurso/mine-action</w:t>
      </w:r>
    </w:p>
    <w:p>
      <w:pPr>
        <w:pStyle w:val="BodyText"/>
      </w:pPr>
      <w:r>
        <w:t xml:space="preserve">14. https://en.wikipedia.org/wiki/Circles_of_latitude_between_the_20th_parallel_north_and_the_25th_parallel_north</w:t>
      </w:r>
    </w:p>
    <w:p>
      <w:pPr>
        <w:pStyle w:val="BodyText"/>
      </w:pPr>
      <w:r>
        <w:t xml:space="preserve">15. https://en.wikipedia.org/wiki/Sahara</w:t>
      </w:r>
    </w:p>
    <w:p>
      <w:pPr>
        <w:pStyle w:val="BodyText"/>
      </w:pPr>
      <w:r>
        <w:t xml:space="preserve">16. https://kids.britannica.com/scholars/article/Sahara/108296</w:t>
      </w:r>
    </w:p>
    <w:p>
      <w:pPr>
        <w:pStyle w:val="BodyText"/>
      </w:pPr>
      <w:r>
        <w:t xml:space="preserve">17. https://www.wikiwand.com/en/Zougra_Airport</w:t>
      </w:r>
    </w:p>
    <w:p>
      <w:pPr>
        <w:pStyle w:val="BodyText"/>
      </w:pPr>
      <w:r>
        <w:t xml:space="preserve">18. https://metar-taf.com/airport/DATM-bordj-badji-mokhtar-airport</w:t>
      </w:r>
    </w:p>
    <w:p>
      <w:pPr>
        <w:pStyle w:val="BodyText"/>
      </w:pPr>
      <w:r>
        <w:t xml:space="preserve">19. https://en.wikipedia.org/wiki/Aguenar_%E2%80%93_Hadj_Bey_Akhamok_Airport</w:t>
      </w:r>
    </w:p>
    <w:p>
      <w:pPr>
        <w:pStyle w:val="BodyText"/>
      </w:pPr>
      <w:r>
        <w:t xml:space="preserve">20. https://www.wikiwand.com/en/Maaten_al-Sarra_Air_Base</w:t>
      </w:r>
    </w:p>
    <w:p>
      <w:pPr>
        <w:pStyle w:val="BodyText"/>
      </w:pPr>
      <w:r>
        <w:t xml:space="preserve">21. https://libya.iom.int/crisis-response</w:t>
      </w:r>
    </w:p>
    <w:p>
      <w:pPr>
        <w:pStyle w:val="BodyText"/>
      </w:pPr>
      <w:r>
        <w:t xml:space="preserve">22. https://news.un.org/en/story/2017/08/563012</w:t>
      </w:r>
    </w:p>
    <w:p>
      <w:pPr>
        <w:pStyle w:val="BodyText"/>
      </w:pPr>
      <w:r>
        <w:t xml:space="preserve">23. https://www.idiaspora.org/index.php/en/projects/safety-support-and-solution-ii</w:t>
      </w:r>
    </w:p>
    <w:p>
      <w:pPr>
        <w:pStyle w:val="BodyText"/>
      </w:pPr>
      <w:r>
        <w:t xml:space="preserve">24. https://skybrary.aero/articles/search-and-rescue-sar</w:t>
      </w:r>
    </w:p>
    <w:p>
      <w:pPr>
        <w:pStyle w:val="BodyText"/>
      </w:pPr>
      <w:r>
        <w:t xml:space="preserve">25. https://www.icao.int/sites/default/files/postalhistory/asecna_agence_pour_la_securite_de_la_navigation_aerienne.htm</w:t>
      </w:r>
    </w:p>
    <w:p>
      <w:pPr>
        <w:pStyle w:val="BodyText"/>
      </w:pPr>
      <w:r>
        <w:t xml:space="preserve">26. https://link.springer.com/chapter/10.1007/978-3-642-25835-0_4</w:t>
      </w:r>
    </w:p>
    <w:p>
      <w:pPr>
        <w:pStyle w:val="BodyText"/>
      </w:pPr>
      <w:r>
        <w:t xml:space="preserve">27. https://www.gov.uk/government/publications/libya-country-policy-and-information-notes/country-policy-and-information-note-security-situation-libya-april-2025-accessible</w:t>
      </w:r>
    </w:p>
    <w:p>
      <w:pPr>
        <w:pStyle w:val="BodyText"/>
      </w:pPr>
      <w:r>
        <w:t xml:space="preserve">28. https://africacenter.org/spotlight/mig2025-militant-islamist-groups-in-africa/</w:t>
      </w:r>
    </w:p>
    <w:p>
      <w:pPr>
        <w:pStyle w:val="BodyText"/>
      </w:pPr>
      <w:r>
        <w:t xml:space="preserve">29. https://criticalthreats.org/analysis/jnim-alqaeda-issp-isis-niger</w:t>
      </w:r>
    </w:p>
    <w:p>
      <w:pPr>
        <w:pStyle w:val="BodyText"/>
      </w:pPr>
      <w:r>
        <w:t xml:space="preserve">30. https://www.middleeastmonitor.com/20241105-444m-square-metres-of-land-in-libya-contaminated-by-landmines-un-warns/</w:t>
      </w:r>
    </w:p>
    <w:p>
      <w:pPr>
        <w:pStyle w:val="BodyText"/>
      </w:pPr>
      <w:r>
        <w:t xml:space="preserve">31. https://the-monitor.org/country-profile/chad/impact</w:t>
      </w:r>
    </w:p>
    <w:p>
      <w:pPr>
        <w:pStyle w:val="BodyText"/>
      </w:pPr>
      <w:r>
        <w:t xml:space="preserve">32. https://travel.state.gov/content/travel/en/traveladvisories/traveladvisories/algeria-travel-advisory.html</w:t>
      </w:r>
    </w:p>
    <w:p>
      <w:pPr>
        <w:pStyle w:val="BodyText"/>
      </w:pPr>
      <w:r>
        <w:t xml:space="preserve">33. https://travel.gc.ca/destinations/chad</w:t>
      </w:r>
    </w:p>
    <w:p>
      <w:pPr>
        <w:pStyle w:val="BodyText"/>
      </w:pPr>
      <w:r>
        <w:t xml:space="preserve">34. https://osac.gov/Country/Chad/Content/Detail/Report/a35d55c6-965a-4348-a952-1c8666a3d417</w:t>
      </w:r>
    </w:p>
    <w:p>
      <w:pPr>
        <w:pStyle w:val="BodyText"/>
      </w:pPr>
      <w:r>
        <w:t xml:space="preserve">35. https://www.garmin.com/en-US/blog/outdoor/why-should-i-buy-a-garmin-satellite-communicator/</w:t>
      </w:r>
    </w:p>
    <w:p>
      <w:pPr>
        <w:pStyle w:val="BodyText"/>
      </w:pPr>
      <w:r>
        <w:t xml:space="preserve">36. https://www.outfittersatellite.com/pages/acr-knowledge-hub</w:t>
      </w:r>
    </w:p>
    <w:p>
      <w:pPr>
        <w:pStyle w:val="BodyText"/>
      </w:pPr>
      <w:r>
        <w:t xml:space="preserve">37. https://www.adventures.net.au/road-trips/across-australia/operations-plan</w:t>
      </w:r>
    </w:p>
    <w:p>
      <w:pPr>
        <w:pStyle w:val="BodyText"/>
      </w:pPr>
      <w:r>
        <w:t xml:space="preserve">38. https://sahara-overland.com/2015/10/03/desert-travelling-geographical-magazine-2001/</w:t>
      </w:r>
    </w:p>
    <w:p>
      <w:pPr>
        <w:pStyle w:val="BodyText"/>
      </w:pPr>
      <w:r>
        <w:t xml:space="preserve">39. https://danger.mongabay.com/survival/afm/13-03.html</w:t>
      </w:r>
    </w:p>
    <w:bookmarkEnd w:id="78"/>
    <w:bookmarkEnd w:id="79"/>
    <w:sectPr w:rsidR="003D7921" w:rsidSect="00835CC8">
      <w:headerReference r:id="rId11" w:type="default"/>
      <w:footerReference r:id="rId12" w:type="even"/>
      <w:footerReference r:id="rId13" w:type="default"/>
      <w:pgSz w:h="15840" w:w="12240"/>
      <w:pgMar w:bottom="288" w:footer="720" w:gutter="0" w:header="720" w:left="864" w:right="720" w:top="432"/>
      <w:lnNumType w:countBy="1" w:restart="continuous"/>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3325953"/>
      <w:docPartObj>
        <w:docPartGallery w:val="Page Numbers (Bottom of Page)"/>
        <w:docPartUnique/>
      </w:docPartObj>
    </w:sdtPr>
    <w:sdtContent>
      <w:p w14:paraId="227713C7" w14:textId="6F1BF085" w:rsidR="00BB2EA8" w:rsidRDefault="00BB2EA8" w:rsidP="008D2C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081E17" w14:textId="77777777" w:rsidR="00BB2EA8" w:rsidRDefault="00BB2EA8" w:rsidP="00BB2E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82906973"/>
      <w:docPartObj>
        <w:docPartGallery w:val="Page Numbers (Bottom of Page)"/>
        <w:docPartUnique/>
      </w:docPartObj>
    </w:sdtPr>
    <w:sdtContent>
      <w:p w14:paraId="4C600947" w14:textId="6BAB33C4" w:rsidR="00BB2EA8" w:rsidRDefault="00BB2EA8" w:rsidP="008D2C7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42CEFA1" w14:textId="2D72A7C2" w:rsidR="000C3AD8" w:rsidRDefault="005D48C7" w:rsidP="00BB2EA8">
    <w:pPr>
      <w:pStyle w:val="Footer"/>
      <w:ind w:right="360"/>
    </w:pPr>
    <w:r>
      <w:rPr>
        <w:noProof/>
      </w:rPr>
      <w:drawing>
        <wp:inline distT="0" distB="0" distL="0" distR="0" wp14:anchorId="4F106003" wp14:editId="3D0B921C">
          <wp:extent cx="91440" cy="91440"/>
          <wp:effectExtent l="0" t="0" r="0" b="0"/>
          <wp:docPr id="42521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1225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1440" cy="91440"/>
                  </a:xfrm>
                  <a:prstGeom prst="rect">
                    <a:avLst/>
                  </a:prstGeom>
                </pic:spPr>
              </pic:pic>
            </a:graphicData>
          </a:graphic>
        </wp:inline>
      </w:drawing>
    </w:r>
    <w:r>
      <w:t xml:space="preserve"> </w:t>
    </w:r>
    <w:r w:rsidR="00BB2EA8" w:rsidRPr="00BB2EA8">
      <w:t xml:space="preserve">Created with Amazon </w:t>
    </w:r>
    <w:r w:rsidR="00675A5C">
      <w:t>Quick Research</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B2E8" w14:textId="370375F0" w:rsidR="000C3AD8" w:rsidRDefault="000C3AD8" w:rsidP="00BB6966">
    <w:pPr>
      <w:pStyle w:val="Header"/>
      <w:jc w:val="left"/>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4427D"/>
    <w:multiLevelType w:val="hybridMultilevel"/>
    <w:tmpl w:val="0FD2425E"/>
    <w:lvl w:ilvl="0" w:tplc="0409000F">
      <w:start w:val="1"/>
      <w:numFmt w:val="decimal"/>
      <w:lvlText w:val="%1."/>
      <w:lvlJc w:val="left"/>
      <w:pPr>
        <w:ind w:hanging="360" w:left="360"/>
      </w:p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15:restartNumberingAfterBreak="0" w:abstractNumId="1">
    <w:nsid w:val="00992C24"/>
    <w:multiLevelType w:val="multilevel"/>
    <w:tmpl w:val="C5FA9BAE"/>
    <w:styleLink w:val="CurrentList1"/>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start w:val="1"/>
      <w:numFmt w:val="decimal"/>
      <w:lvlText w:val="%3."/>
      <w:lvlJc w:val="left"/>
      <w:pPr>
        <w:tabs>
          <w:tab w:pos="2160" w:val="num"/>
        </w:tabs>
        <w:ind w:hanging="360" w:left="2160"/>
      </w:pPr>
    </w:lvl>
    <w:lvl w:ilvl="3">
      <w:start w:val="1"/>
      <w:numFmt w:val="decimal"/>
      <w:lvlText w:val="%4."/>
      <w:lvlJc w:val="left"/>
      <w:pPr>
        <w:tabs>
          <w:tab w:pos="2880" w:val="num"/>
        </w:tabs>
        <w:ind w:hanging="360" w:left="2880"/>
      </w:pPr>
    </w:lvl>
    <w:lvl w:ilvl="4">
      <w:start w:val="1"/>
      <w:numFmt w:val="decimal"/>
      <w:lvlText w:val="%5."/>
      <w:lvlJc w:val="left"/>
      <w:pPr>
        <w:tabs>
          <w:tab w:pos="3600" w:val="num"/>
        </w:tabs>
        <w:ind w:hanging="360" w:left="3600"/>
      </w:pPr>
    </w:lvl>
    <w:lvl w:ilvl="5">
      <w:start w:val="1"/>
      <w:numFmt w:val="decimal"/>
      <w:lvlText w:val="%6."/>
      <w:lvlJc w:val="left"/>
      <w:pPr>
        <w:tabs>
          <w:tab w:pos="4320" w:val="num"/>
        </w:tabs>
        <w:ind w:hanging="360" w:left="4320"/>
      </w:pPr>
    </w:lvl>
    <w:lvl w:ilvl="6">
      <w:start w:val="1"/>
      <w:numFmt w:val="decimal"/>
      <w:lvlText w:val="%7."/>
      <w:lvlJc w:val="left"/>
      <w:pPr>
        <w:tabs>
          <w:tab w:pos="5040" w:val="num"/>
        </w:tabs>
        <w:ind w:hanging="360" w:left="5040"/>
      </w:pPr>
    </w:lvl>
    <w:lvl w:ilvl="7">
      <w:start w:val="1"/>
      <w:numFmt w:val="decimal"/>
      <w:lvlText w:val="%8."/>
      <w:lvlJc w:val="left"/>
      <w:pPr>
        <w:tabs>
          <w:tab w:pos="5760" w:val="num"/>
        </w:tabs>
        <w:ind w:hanging="360" w:left="5760"/>
      </w:pPr>
    </w:lvl>
    <w:lvl w:ilvl="8">
      <w:start w:val="1"/>
      <w:numFmt w:val="decimal"/>
      <w:lvlText w:val="%9."/>
      <w:lvlJc w:val="left"/>
      <w:pPr>
        <w:tabs>
          <w:tab w:pos="6480" w:val="num"/>
        </w:tabs>
        <w:ind w:hanging="360" w:left="6480"/>
      </w:pPr>
    </w:lvl>
  </w:abstractNum>
  <w:abstractNum w15:restartNumberingAfterBreak="0" w:abstractNumId="2">
    <w:nsid w:val="0165265C"/>
    <w:multiLevelType w:val="hybridMultilevel"/>
    <w:tmpl w:val="B3FE8E8C"/>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3">
    <w:nsid w:val="028028A5"/>
    <w:multiLevelType w:val="multilevel"/>
    <w:tmpl w:val="59102E54"/>
    <w:lvl w:ilvl="0">
      <w:start w:val="1"/>
      <w:numFmt w:val="decimal"/>
      <w:lvlText w:val="%1."/>
      <w:lvlJc w:val="left"/>
      <w:pPr>
        <w:ind w:hanging="360" w:left="360"/>
      </w:pPr>
      <w:rPr>
        <w:rFonts w:hint="default"/>
      </w:rPr>
    </w:lvl>
    <w:lvl w:ilvl="1">
      <w:start w:val="1"/>
      <w:numFmt w:val="decimal"/>
      <w:isLgl/>
      <w:lvlText w:val="%1.%2"/>
      <w:lvlJc w:val="left"/>
      <w:pPr>
        <w:ind w:hanging="360" w:left="360"/>
      </w:pPr>
      <w:rPr>
        <w:rFonts w:hint="default"/>
        <w:u w:val="none"/>
      </w:rPr>
    </w:lvl>
    <w:lvl w:ilvl="2">
      <w:start w:val="1"/>
      <w:numFmt w:val="decimal"/>
      <w:lvlText w:val="%3."/>
      <w:lvlJc w:val="left"/>
      <w:pPr>
        <w:ind w:hanging="360" w:left="360"/>
      </w:pPr>
    </w:lvl>
    <w:lvl w:ilvl="3">
      <w:start w:val="1"/>
      <w:numFmt w:val="decimal"/>
      <w:isLgl/>
      <w:lvlText w:val="%1.%2.%3.%4"/>
      <w:lvlJc w:val="left"/>
      <w:pPr>
        <w:ind w:hanging="720" w:left="720"/>
      </w:pPr>
      <w:rPr>
        <w:rFonts w:hint="default"/>
      </w:rPr>
    </w:lvl>
    <w:lvl w:ilvl="4">
      <w:start w:val="1"/>
      <w:numFmt w:val="decimal"/>
      <w:isLgl/>
      <w:lvlText w:val="%1.%2.%3.%4.%5"/>
      <w:lvlJc w:val="left"/>
      <w:pPr>
        <w:ind w:hanging="720" w:left="720"/>
      </w:pPr>
      <w:rPr>
        <w:rFonts w:hint="default"/>
      </w:rPr>
    </w:lvl>
    <w:lvl w:ilvl="5">
      <w:start w:val="1"/>
      <w:numFmt w:val="decimal"/>
      <w:isLgl/>
      <w:lvlText w:val="%1.%2.%3.%4.%5.%6"/>
      <w:lvlJc w:val="left"/>
      <w:pPr>
        <w:ind w:hanging="1080" w:left="1080"/>
      </w:pPr>
      <w:rPr>
        <w:rFonts w:hint="default"/>
      </w:rPr>
    </w:lvl>
    <w:lvl w:ilvl="6">
      <w:start w:val="1"/>
      <w:numFmt w:val="decimal"/>
      <w:isLgl/>
      <w:lvlText w:val="%1.%2.%3.%4.%5.%6.%7"/>
      <w:lvlJc w:val="left"/>
      <w:pPr>
        <w:ind w:hanging="1080" w:left="1080"/>
      </w:pPr>
      <w:rPr>
        <w:rFonts w:hint="default"/>
      </w:rPr>
    </w:lvl>
    <w:lvl w:ilvl="7">
      <w:start w:val="1"/>
      <w:numFmt w:val="decimal"/>
      <w:isLgl/>
      <w:lvlText w:val="%1.%2.%3.%4.%5.%6.%7.%8"/>
      <w:lvlJc w:val="left"/>
      <w:pPr>
        <w:ind w:hanging="1440" w:left="1440"/>
      </w:pPr>
      <w:rPr>
        <w:rFonts w:hint="default"/>
      </w:rPr>
    </w:lvl>
    <w:lvl w:ilvl="8">
      <w:start w:val="1"/>
      <w:numFmt w:val="decimal"/>
      <w:isLgl/>
      <w:lvlText w:val="%1.%2.%3.%4.%5.%6.%7.%8.%9"/>
      <w:lvlJc w:val="left"/>
      <w:pPr>
        <w:ind w:hanging="1440" w:left="1440"/>
      </w:pPr>
      <w:rPr>
        <w:rFonts w:hint="default"/>
      </w:rPr>
    </w:lvl>
  </w:abstractNum>
  <w:abstractNum w15:restartNumberingAfterBreak="0" w:abstractNumId="4">
    <w:nsid w:val="03BE44DF"/>
    <w:multiLevelType w:val="hybridMultilevel"/>
    <w:tmpl w:val="A86E2F50"/>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5">
    <w:nsid w:val="058979FA"/>
    <w:multiLevelType w:val="hybridMultilevel"/>
    <w:tmpl w:val="668A4E08"/>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6">
    <w:nsid w:val="07061E82"/>
    <w:multiLevelType w:val="hybridMultilevel"/>
    <w:tmpl w:val="A516D4A4"/>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7">
    <w:nsid w:val="0A225FD9"/>
    <w:multiLevelType w:val="hybridMultilevel"/>
    <w:tmpl w:val="427C255E"/>
    <w:lvl w:ilvl="0" w:tplc="E06C1A74">
      <w:start w:val="2"/>
      <w:numFmt w:val="bullet"/>
      <w:lvlText w:val=""/>
      <w:lvlJc w:val="left"/>
      <w:pPr>
        <w:ind w:hanging="360" w:left="720"/>
      </w:pPr>
      <w:rPr>
        <w:rFonts w:ascii="Symbol" w:cstheme="minorBidi" w:eastAsiaTheme="minorHAnsi"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8">
    <w:nsid w:val="0A631809"/>
    <w:multiLevelType w:val="multilevel"/>
    <w:tmpl w:val="6B9EEB4E"/>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9">
    <w:nsid w:val="12E466AD"/>
    <w:multiLevelType w:val="hybridMultilevel"/>
    <w:tmpl w:val="888E5518"/>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0">
    <w:nsid w:val="164B745D"/>
    <w:multiLevelType w:val="multilevel"/>
    <w:tmpl w:val="E24ABEB6"/>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11">
    <w:nsid w:val="190B6293"/>
    <w:multiLevelType w:val="multilevel"/>
    <w:tmpl w:val="E9A892F0"/>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12">
    <w:nsid w:val="194640AD"/>
    <w:multiLevelType w:val="multilevel"/>
    <w:tmpl w:val="BCBC1C8E"/>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13">
    <w:nsid w:val="1AD7657D"/>
    <w:multiLevelType w:val="hybridMultilevel"/>
    <w:tmpl w:val="75ACA308"/>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4">
    <w:nsid w:val="21591353"/>
    <w:multiLevelType w:val="hybridMultilevel"/>
    <w:tmpl w:val="20BAD3D4"/>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15">
    <w:nsid w:val="272606B8"/>
    <w:multiLevelType w:val="multilevel"/>
    <w:tmpl w:val="5D725A4A"/>
    <w:lvl w:ilvl="0">
      <w:start w:val="1"/>
      <w:numFmt w:val="decimal"/>
      <w:pStyle w:val="Heading2"/>
      <w:lvlText w:val="%1."/>
      <w:lvlJc w:val="left"/>
      <w:pPr>
        <w:ind w:hanging="360" w:left="360"/>
      </w:pPr>
      <w:rPr>
        <w:rFonts w:hint="default"/>
      </w:rPr>
    </w:lvl>
    <w:lvl w:ilvl="1">
      <w:start w:val="1"/>
      <w:numFmt w:val="decimal"/>
      <w:pStyle w:val="Heading3"/>
      <w:isLgl/>
      <w:lvlText w:val="%1.%2"/>
      <w:lvlJc w:val="left"/>
      <w:pPr>
        <w:ind w:hanging="360" w:left="1530"/>
      </w:pPr>
      <w:rPr>
        <w:rFonts w:hint="default"/>
        <w:u w:val="none"/>
      </w:rPr>
    </w:lvl>
    <w:lvl w:ilvl="2">
      <w:start w:val="1"/>
      <w:numFmt w:val="decimal"/>
      <w:pStyle w:val="Heading4"/>
      <w:isLgl/>
      <w:lvlText w:val="%1.%2.%3"/>
      <w:lvlJc w:val="left"/>
      <w:pPr>
        <w:ind w:hanging="720" w:left="720"/>
      </w:pPr>
      <w:rPr>
        <w:rFonts w:hint="default"/>
      </w:rPr>
    </w:lvl>
    <w:lvl w:ilvl="3">
      <w:start w:val="1"/>
      <w:numFmt w:val="decimal"/>
      <w:isLgl/>
      <w:lvlText w:val="%1.%2.%3.%4"/>
      <w:lvlJc w:val="left"/>
      <w:pPr>
        <w:ind w:hanging="720" w:left="720"/>
      </w:pPr>
      <w:rPr>
        <w:rFonts w:hint="default"/>
      </w:rPr>
    </w:lvl>
    <w:lvl w:ilvl="4">
      <w:start w:val="1"/>
      <w:numFmt w:val="decimal"/>
      <w:isLgl/>
      <w:lvlText w:val="%1.%2.%3.%4.%5"/>
      <w:lvlJc w:val="left"/>
      <w:pPr>
        <w:ind w:hanging="720" w:left="720"/>
      </w:pPr>
      <w:rPr>
        <w:rFonts w:hint="default"/>
      </w:rPr>
    </w:lvl>
    <w:lvl w:ilvl="5">
      <w:start w:val="1"/>
      <w:numFmt w:val="decimal"/>
      <w:isLgl/>
      <w:lvlText w:val="%1.%2.%3.%4.%5.%6"/>
      <w:lvlJc w:val="left"/>
      <w:pPr>
        <w:ind w:hanging="1080" w:left="1080"/>
      </w:pPr>
      <w:rPr>
        <w:rFonts w:hint="default"/>
      </w:rPr>
    </w:lvl>
    <w:lvl w:ilvl="6">
      <w:start w:val="1"/>
      <w:numFmt w:val="decimal"/>
      <w:isLgl/>
      <w:lvlText w:val="%1.%2.%3.%4.%5.%6.%7"/>
      <w:lvlJc w:val="left"/>
      <w:pPr>
        <w:ind w:hanging="1080" w:left="1080"/>
      </w:pPr>
      <w:rPr>
        <w:rFonts w:hint="default"/>
      </w:rPr>
    </w:lvl>
    <w:lvl w:ilvl="7">
      <w:start w:val="1"/>
      <w:numFmt w:val="decimal"/>
      <w:isLgl/>
      <w:lvlText w:val="%1.%2.%3.%4.%5.%6.%7.%8"/>
      <w:lvlJc w:val="left"/>
      <w:pPr>
        <w:ind w:hanging="1440" w:left="1440"/>
      </w:pPr>
      <w:rPr>
        <w:rFonts w:hint="default"/>
      </w:rPr>
    </w:lvl>
    <w:lvl w:ilvl="8">
      <w:start w:val="1"/>
      <w:numFmt w:val="decimal"/>
      <w:isLgl/>
      <w:lvlText w:val="%1.%2.%3.%4.%5.%6.%7.%8.%9"/>
      <w:lvlJc w:val="left"/>
      <w:pPr>
        <w:ind w:hanging="1440" w:left="1440"/>
      </w:pPr>
      <w:rPr>
        <w:rFonts w:hint="default"/>
      </w:rPr>
    </w:lvl>
  </w:abstractNum>
  <w:abstractNum w15:restartNumberingAfterBreak="0" w:abstractNumId="16">
    <w:nsid w:val="274674AF"/>
    <w:multiLevelType w:val="multilevel"/>
    <w:tmpl w:val="65D040FA"/>
    <w:lvl w:ilvl="0">
      <w:start w:val="1"/>
      <w:numFmt w:val="bullet"/>
      <w:lvlText w:val=""/>
      <w:lvlJc w:val="left"/>
      <w:pPr>
        <w:tabs>
          <w:tab w:pos="720" w:val="num"/>
        </w:tabs>
        <w:ind w:hanging="360" w:left="720"/>
      </w:pPr>
      <w:rPr>
        <w:rFonts w:ascii="Symbol" w:hAnsi="Symbol" w:hint="default"/>
        <w:sz w:val="20"/>
      </w:rPr>
    </w:lvl>
    <w:lvl w:ilvl="1">
      <w:start w:val="1"/>
      <w:numFmt w:val="bullet"/>
      <w:lvlText w:val="o"/>
      <w:lvlJc w:val="left"/>
      <w:pPr>
        <w:tabs>
          <w:tab w:pos="1440" w:val="num"/>
        </w:tabs>
        <w:ind w:hanging="360" w:left="1440"/>
      </w:pPr>
      <w:rPr>
        <w:rFonts w:ascii="Courier New" w:hAnsi="Courier New" w:hint="default"/>
        <w:sz w:val="20"/>
      </w:rPr>
    </w:lvl>
    <w:lvl w:ilvl="2">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17">
    <w:nsid w:val="2ACC218F"/>
    <w:multiLevelType w:val="hybridMultilevel"/>
    <w:tmpl w:val="41F2633C"/>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18">
    <w:nsid w:val="2DEB53CE"/>
    <w:multiLevelType w:val="multilevel"/>
    <w:tmpl w:val="96082A5A"/>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19">
    <w:nsid w:val="2E233C40"/>
    <w:multiLevelType w:val="multilevel"/>
    <w:tmpl w:val="5ABC433E"/>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0">
    <w:nsid w:val="3065516F"/>
    <w:multiLevelType w:val="multilevel"/>
    <w:tmpl w:val="8EB6567A"/>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1">
    <w:nsid w:val="339F1B70"/>
    <w:multiLevelType w:val="hybridMultilevel"/>
    <w:tmpl w:val="95DEDDE6"/>
    <w:lvl w:ilvl="0" w:tplc="04090019">
      <w:start w:val="1"/>
      <w:numFmt w:val="lowerLetter"/>
      <w:lvlText w:val="%1."/>
      <w:lvlJc w:val="left"/>
      <w:pPr>
        <w:ind w:hanging="360" w:left="720"/>
      </w:pPr>
    </w:lvl>
    <w:lvl w:ilvl="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2">
    <w:nsid w:val="34391E56"/>
    <w:multiLevelType w:val="multilevel"/>
    <w:tmpl w:val="E410DF40"/>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3">
    <w:nsid w:val="347D524C"/>
    <w:multiLevelType w:val="multilevel"/>
    <w:tmpl w:val="ED7A2882"/>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24">
    <w:nsid w:val="36C71D71"/>
    <w:multiLevelType w:val="multilevel"/>
    <w:tmpl w:val="77ACA098"/>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25">
    <w:nsid w:val="3759052E"/>
    <w:multiLevelType w:val="multilevel"/>
    <w:tmpl w:val="E26E2502"/>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6">
    <w:nsid w:val="37631D88"/>
    <w:multiLevelType w:val="hybridMultilevel"/>
    <w:tmpl w:val="F8B2835E"/>
    <w:lvl w:ilvl="0" w:tplc="0409000F">
      <w:start w:val="1"/>
      <w:numFmt w:val="decimal"/>
      <w:lvlText w:val="%1."/>
      <w:lvlJc w:val="left"/>
      <w:pPr>
        <w:ind w:hanging="360" w:left="360"/>
      </w:p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15:restartNumberingAfterBreak="0" w:abstractNumId="27">
    <w:nsid w:val="39867EE8"/>
    <w:multiLevelType w:val="hybridMultilevel"/>
    <w:tmpl w:val="5B36BE3E"/>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28">
    <w:nsid w:val="3A162B3D"/>
    <w:multiLevelType w:val="hybridMultilevel"/>
    <w:tmpl w:val="80F2697E"/>
    <w:lvl w:ilvl="0" w:tplc="CB1CB04A">
      <w:start w:val="1"/>
      <w:numFmt w:val="bullet"/>
      <w:lvlText w:val=""/>
      <w:lvlJc w:val="left"/>
      <w:pPr>
        <w:ind w:hanging="360" w:left="720"/>
      </w:pPr>
      <w:rPr>
        <w:rFonts w:ascii="Symbol" w:cstheme="minorBidi" w:eastAsiaTheme="minorHAnsi"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29">
    <w:nsid w:val="3A3C4B62"/>
    <w:multiLevelType w:val="multilevel"/>
    <w:tmpl w:val="8CBECE88"/>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0">
    <w:nsid w:val="3A3E1B3B"/>
    <w:multiLevelType w:val="hybridMultilevel"/>
    <w:tmpl w:val="5E02F842"/>
    <w:lvl w:ilvl="0" w:tplc="6602D5F2">
      <w:start w:val="1"/>
      <w:numFmt w:val="bullet"/>
      <w:lvlText w:val=""/>
      <w:lvlJc w:val="left"/>
      <w:pPr>
        <w:ind w:hanging="360" w:left="720"/>
      </w:pPr>
      <w:rPr>
        <w:rFonts w:ascii="Symbol" w:cstheme="minorBidi" w:eastAsiaTheme="minorHAnsi"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31">
    <w:nsid w:val="3D0E7A38"/>
    <w:multiLevelType w:val="hybridMultilevel"/>
    <w:tmpl w:val="3C5038EC"/>
    <w:lvl w:ilvl="0" w:tplc="1DBC34D0">
      <w:start w:val="1"/>
      <w:numFmt w:val="decimal"/>
      <w:lvlText w:val="%1."/>
      <w:lvlJc w:val="left"/>
      <w:pPr>
        <w:ind w:hanging="360" w:left="360"/>
      </w:pPr>
      <w:rPr>
        <w:rFonts w:hint="default"/>
        <w:b/>
        <w:bCs/>
        <w:sz w:val="20"/>
        <w:szCs w:val="20"/>
      </w:rPr>
    </w:lvl>
    <w:lvl w:ilvl="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15:restartNumberingAfterBreak="0" w:abstractNumId="32">
    <w:nsid w:val="3D3C64D7"/>
    <w:multiLevelType w:val="multilevel"/>
    <w:tmpl w:val="9AD08782"/>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33">
    <w:nsid w:val="405835CD"/>
    <w:multiLevelType w:val="multilevel"/>
    <w:tmpl w:val="872064A0"/>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34">
    <w:nsid w:val="425E42F0"/>
    <w:multiLevelType w:val="multilevel"/>
    <w:tmpl w:val="7D32718A"/>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35">
    <w:nsid w:val="4270090E"/>
    <w:multiLevelType w:val="hybridMultilevel"/>
    <w:tmpl w:val="01D800F4"/>
    <w:lvl w:ilvl="0" w:tplc="0409000F">
      <w:start w:val="1"/>
      <w:numFmt w:val="decimal"/>
      <w:lvlText w:val="%1."/>
      <w:lvlJc w:val="left"/>
      <w:pPr>
        <w:ind w:hanging="360" w:left="360"/>
      </w:p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15:restartNumberingAfterBreak="0" w:abstractNumId="36">
    <w:nsid w:val="44AD52D7"/>
    <w:multiLevelType w:val="hybridMultilevel"/>
    <w:tmpl w:val="44B2EA26"/>
    <w:lvl w:ilvl="0" w:tplc="0409000F">
      <w:start w:val="1"/>
      <w:numFmt w:val="decimal"/>
      <w:lvlText w:val="%1."/>
      <w:lvlJc w:val="left"/>
      <w:pPr>
        <w:ind w:hanging="360" w:left="720"/>
      </w:pPr>
      <w:rPr>
        <w:rFonts w:hint="default"/>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37">
    <w:nsid w:val="461145B5"/>
    <w:multiLevelType w:val="hybridMultilevel"/>
    <w:tmpl w:val="DC4AA1B2"/>
    <w:lvl w:ilvl="0" w:tplc="04090001">
      <w:start w:val="1"/>
      <w:numFmt w:val="bullet"/>
      <w:lvlText w:val=""/>
      <w:lvlJc w:val="left"/>
      <w:pPr>
        <w:ind w:hanging="360" w:left="720"/>
      </w:pPr>
      <w:rPr>
        <w:rFonts w:ascii="Symbol" w:hAnsi="Symbol" w:hint="default"/>
      </w:rPr>
    </w:lvl>
    <w:lvl w:ilvl="1" w:tentative="1" w:tplc="04090003">
      <w:start w:val="1"/>
      <w:numFmt w:val="bullet"/>
      <w:lvlText w:val="o"/>
      <w:lvlJc w:val="left"/>
      <w:pPr>
        <w:ind w:hanging="360" w:left="1440"/>
      </w:pPr>
      <w:rPr>
        <w:rFonts w:ascii="Courier New" w:cs="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cs="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cs="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38">
    <w:nsid w:val="46CD5AAB"/>
    <w:multiLevelType w:val="hybridMultilevel"/>
    <w:tmpl w:val="C8B45F8C"/>
    <w:lvl w:ilvl="0" w:tplc="04090001">
      <w:start w:val="1"/>
      <w:numFmt w:val="bullet"/>
      <w:lvlText w:val=""/>
      <w:lvlJc w:val="left"/>
      <w:pPr>
        <w:ind w:hanging="360" w:left="360"/>
      </w:pPr>
      <w:rPr>
        <w:rFonts w:ascii="Symbol" w:hAnsi="Symbol" w:hint="default"/>
      </w:rPr>
    </w:lvl>
    <w:lvl w:ilvl="1" w:tentative="1" w:tplc="FFFFFFFF">
      <w:start w:val="1"/>
      <w:numFmt w:val="lowerLetter"/>
      <w:lvlText w:val="%2."/>
      <w:lvlJc w:val="left"/>
      <w:pPr>
        <w:ind w:hanging="360" w:left="1080"/>
      </w:pPr>
    </w:lvl>
    <w:lvl w:ilvl="2" w:tentative="1" w:tplc="FFFFFFFF">
      <w:start w:val="1"/>
      <w:numFmt w:val="lowerRoman"/>
      <w:lvlText w:val="%3."/>
      <w:lvlJc w:val="right"/>
      <w:pPr>
        <w:ind w:hanging="180" w:left="1800"/>
      </w:pPr>
    </w:lvl>
    <w:lvl w:ilvl="3" w:tentative="1" w:tplc="FFFFFFFF">
      <w:start w:val="1"/>
      <w:numFmt w:val="decimal"/>
      <w:lvlText w:val="%4."/>
      <w:lvlJc w:val="left"/>
      <w:pPr>
        <w:ind w:hanging="360" w:left="2520"/>
      </w:pPr>
    </w:lvl>
    <w:lvl w:ilvl="4" w:tentative="1" w:tplc="FFFFFFFF">
      <w:start w:val="1"/>
      <w:numFmt w:val="lowerLetter"/>
      <w:lvlText w:val="%5."/>
      <w:lvlJc w:val="left"/>
      <w:pPr>
        <w:ind w:hanging="360" w:left="3240"/>
      </w:pPr>
    </w:lvl>
    <w:lvl w:ilvl="5" w:tentative="1" w:tplc="FFFFFFFF">
      <w:start w:val="1"/>
      <w:numFmt w:val="lowerRoman"/>
      <w:lvlText w:val="%6."/>
      <w:lvlJc w:val="right"/>
      <w:pPr>
        <w:ind w:hanging="180" w:left="3960"/>
      </w:pPr>
    </w:lvl>
    <w:lvl w:ilvl="6" w:tentative="1" w:tplc="FFFFFFFF">
      <w:start w:val="1"/>
      <w:numFmt w:val="decimal"/>
      <w:lvlText w:val="%7."/>
      <w:lvlJc w:val="left"/>
      <w:pPr>
        <w:ind w:hanging="360" w:left="4680"/>
      </w:pPr>
    </w:lvl>
    <w:lvl w:ilvl="7" w:tentative="1" w:tplc="FFFFFFFF">
      <w:start w:val="1"/>
      <w:numFmt w:val="lowerLetter"/>
      <w:lvlText w:val="%8."/>
      <w:lvlJc w:val="left"/>
      <w:pPr>
        <w:ind w:hanging="360" w:left="5400"/>
      </w:pPr>
    </w:lvl>
    <w:lvl w:ilvl="8" w:tentative="1" w:tplc="FFFFFFFF">
      <w:start w:val="1"/>
      <w:numFmt w:val="lowerRoman"/>
      <w:lvlText w:val="%9."/>
      <w:lvlJc w:val="right"/>
      <w:pPr>
        <w:ind w:hanging="180" w:left="6120"/>
      </w:pPr>
    </w:lvl>
  </w:abstractNum>
  <w:abstractNum w15:restartNumberingAfterBreak="0" w:abstractNumId="39">
    <w:nsid w:val="47414D66"/>
    <w:multiLevelType w:val="multilevel"/>
    <w:tmpl w:val="FFBE9FF8"/>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40">
    <w:nsid w:val="48146340"/>
    <w:multiLevelType w:val="multilevel"/>
    <w:tmpl w:val="9E581C0A"/>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1">
    <w:nsid w:val="48B9122D"/>
    <w:multiLevelType w:val="multilevel"/>
    <w:tmpl w:val="F8545300"/>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2">
    <w:nsid w:val="4D476FC4"/>
    <w:multiLevelType w:val="multilevel"/>
    <w:tmpl w:val="1352B724"/>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3">
    <w:nsid w:val="518E7D75"/>
    <w:multiLevelType w:val="multilevel"/>
    <w:tmpl w:val="9F90F03A"/>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4">
    <w:nsid w:val="52654656"/>
    <w:multiLevelType w:val="hybridMultilevel"/>
    <w:tmpl w:val="0684358E"/>
    <w:lvl w:ilvl="0" w:tplc="0409000F">
      <w:start w:val="1"/>
      <w:numFmt w:val="decimal"/>
      <w:lvlText w:val="%1."/>
      <w:lvlJc w:val="left"/>
      <w:pPr>
        <w:ind w:hanging="360" w:left="720"/>
      </w:pPr>
      <w:rPr>
        <w:rFonts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45">
    <w:nsid w:val="52A07CE6"/>
    <w:multiLevelType w:val="multilevel"/>
    <w:tmpl w:val="A9E8C496"/>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46">
    <w:nsid w:val="588123D6"/>
    <w:multiLevelType w:val="hybridMultilevel"/>
    <w:tmpl w:val="E7CAB2D4"/>
    <w:lvl w:ilvl="0" w:tplc="E06C1A74">
      <w:start w:val="2"/>
      <w:numFmt w:val="bullet"/>
      <w:lvlText w:val=""/>
      <w:lvlJc w:val="left"/>
      <w:pPr>
        <w:ind w:hanging="360" w:left="720"/>
      </w:pPr>
      <w:rPr>
        <w:rFonts w:ascii="Symbol" w:cstheme="minorBidi" w:eastAsiaTheme="minorHAnsi" w:hAnsi="Symbol" w:hint="default"/>
      </w:rPr>
    </w:lvl>
    <w:lvl w:ilvl="1" w:tentative="1" w:tplc="04090003">
      <w:start w:val="1"/>
      <w:numFmt w:val="bullet"/>
      <w:lvlText w:val="o"/>
      <w:lvlJc w:val="left"/>
      <w:pPr>
        <w:ind w:hanging="360" w:left="1440"/>
      </w:pPr>
      <w:rPr>
        <w:rFonts w:ascii="Courier New" w:hAnsi="Courier New" w:hint="default"/>
      </w:rPr>
    </w:lvl>
    <w:lvl w:ilvl="2" w:tentative="1" w:tplc="04090005">
      <w:start w:val="1"/>
      <w:numFmt w:val="bullet"/>
      <w:lvlText w:val=""/>
      <w:lvlJc w:val="left"/>
      <w:pPr>
        <w:ind w:hanging="360" w:left="2160"/>
      </w:pPr>
      <w:rPr>
        <w:rFonts w:ascii="Wingdings" w:hAnsi="Wingdings" w:hint="default"/>
      </w:rPr>
    </w:lvl>
    <w:lvl w:ilvl="3" w:tentative="1" w:tplc="04090001">
      <w:start w:val="1"/>
      <w:numFmt w:val="bullet"/>
      <w:lvlText w:val=""/>
      <w:lvlJc w:val="left"/>
      <w:pPr>
        <w:ind w:hanging="360" w:left="2880"/>
      </w:pPr>
      <w:rPr>
        <w:rFonts w:ascii="Symbol" w:hAnsi="Symbol" w:hint="default"/>
      </w:rPr>
    </w:lvl>
    <w:lvl w:ilvl="4" w:tentative="1" w:tplc="04090003">
      <w:start w:val="1"/>
      <w:numFmt w:val="bullet"/>
      <w:lvlText w:val="o"/>
      <w:lvlJc w:val="left"/>
      <w:pPr>
        <w:ind w:hanging="360" w:left="3600"/>
      </w:pPr>
      <w:rPr>
        <w:rFonts w:ascii="Courier New" w:hAnsi="Courier New" w:hint="default"/>
      </w:rPr>
    </w:lvl>
    <w:lvl w:ilvl="5" w:tentative="1" w:tplc="04090005">
      <w:start w:val="1"/>
      <w:numFmt w:val="bullet"/>
      <w:lvlText w:val=""/>
      <w:lvlJc w:val="left"/>
      <w:pPr>
        <w:ind w:hanging="360" w:left="4320"/>
      </w:pPr>
      <w:rPr>
        <w:rFonts w:ascii="Wingdings" w:hAnsi="Wingdings" w:hint="default"/>
      </w:rPr>
    </w:lvl>
    <w:lvl w:ilvl="6" w:tentative="1" w:tplc="04090001">
      <w:start w:val="1"/>
      <w:numFmt w:val="bullet"/>
      <w:lvlText w:val=""/>
      <w:lvlJc w:val="left"/>
      <w:pPr>
        <w:ind w:hanging="360" w:left="5040"/>
      </w:pPr>
      <w:rPr>
        <w:rFonts w:ascii="Symbol" w:hAnsi="Symbol" w:hint="default"/>
      </w:rPr>
    </w:lvl>
    <w:lvl w:ilvl="7" w:tentative="1" w:tplc="04090003">
      <w:start w:val="1"/>
      <w:numFmt w:val="bullet"/>
      <w:lvlText w:val="o"/>
      <w:lvlJc w:val="left"/>
      <w:pPr>
        <w:ind w:hanging="360" w:left="5760"/>
      </w:pPr>
      <w:rPr>
        <w:rFonts w:ascii="Courier New" w:hAnsi="Courier New" w:hint="default"/>
      </w:rPr>
    </w:lvl>
    <w:lvl w:ilvl="8" w:tentative="1" w:tplc="04090005">
      <w:start w:val="1"/>
      <w:numFmt w:val="bullet"/>
      <w:lvlText w:val=""/>
      <w:lvlJc w:val="left"/>
      <w:pPr>
        <w:ind w:hanging="360" w:left="6480"/>
      </w:pPr>
      <w:rPr>
        <w:rFonts w:ascii="Wingdings" w:hAnsi="Wingdings" w:hint="default"/>
      </w:rPr>
    </w:lvl>
  </w:abstractNum>
  <w:abstractNum w15:restartNumberingAfterBreak="0" w:abstractNumId="47">
    <w:nsid w:val="5A12266E"/>
    <w:multiLevelType w:val="multilevel"/>
    <w:tmpl w:val="F18C1FF2"/>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8">
    <w:nsid w:val="5EF938E8"/>
    <w:multiLevelType w:val="hybridMultilevel"/>
    <w:tmpl w:val="DDA22DA0"/>
    <w:lvl w:ilvl="0" w:tplc="0409000F">
      <w:start w:val="1"/>
      <w:numFmt w:val="decimal"/>
      <w:lvlText w:val="%1."/>
      <w:lvlJc w:val="left"/>
      <w:pPr>
        <w:ind w:hanging="360" w:left="720"/>
      </w:pPr>
      <w:rPr>
        <w:rFonts w:hint="default"/>
      </w:rPr>
    </w:lvl>
    <w:lvl w:ilvl="1" w:tplc="04090017">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49">
    <w:nsid w:val="61B52155"/>
    <w:multiLevelType w:val="multilevel"/>
    <w:tmpl w:val="D4148E46"/>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50">
    <w:nsid w:val="622F77F4"/>
    <w:multiLevelType w:val="multilevel"/>
    <w:tmpl w:val="56C2BDFE"/>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51">
    <w:nsid w:val="62385162"/>
    <w:multiLevelType w:val="multilevel"/>
    <w:tmpl w:val="218C5A20"/>
    <w:lvl w:ilvl="0">
      <w:start w:val="1"/>
      <w:numFmt w:val="decimal"/>
      <w:lvlText w:val="%1."/>
      <w:lvlJc w:val="left"/>
      <w:pPr>
        <w:tabs>
          <w:tab w:pos="720" w:val="num"/>
        </w:tabs>
        <w:ind w:hanging="360" w:left="720"/>
      </w:pPr>
      <w:rPr>
        <w:rFonts w:hint="default"/>
      </w:rPr>
    </w:lvl>
    <w:lvl w:ilvl="1">
      <w:start w:val="1"/>
      <w:numFmt w:val="lowerLetter"/>
      <w:lvlText w:val="%2."/>
      <w:lvlJc w:val="left"/>
      <w:pPr>
        <w:ind w:hanging="360" w:left="1440"/>
      </w:pPr>
      <w:rPr>
        <w:rFonts w:hint="default"/>
      </w:rPr>
    </w:lvl>
    <w:lvl w:ilvl="2">
      <w:start w:val="1"/>
      <w:numFmt w:val="decimal"/>
      <w:lvlText w:val="%3."/>
      <w:lvlJc w:val="left"/>
      <w:pPr>
        <w:tabs>
          <w:tab w:pos="2160" w:val="num"/>
        </w:tabs>
        <w:ind w:hanging="360" w:left="2160"/>
      </w:pPr>
      <w:rPr>
        <w:rFonts w:hint="default"/>
      </w:rPr>
    </w:lvl>
    <w:lvl w:ilvl="3">
      <w:start w:val="1"/>
      <w:numFmt w:val="decimal"/>
      <w:lvlText w:val="%4."/>
      <w:lvlJc w:val="left"/>
      <w:pPr>
        <w:tabs>
          <w:tab w:pos="2880" w:val="num"/>
        </w:tabs>
        <w:ind w:hanging="360" w:left="2880"/>
      </w:pPr>
      <w:rPr>
        <w:rFonts w:hint="default"/>
      </w:rPr>
    </w:lvl>
    <w:lvl w:ilvl="4">
      <w:start w:val="1"/>
      <w:numFmt w:val="decimal"/>
      <w:lvlText w:val="%5."/>
      <w:lvlJc w:val="left"/>
      <w:pPr>
        <w:tabs>
          <w:tab w:pos="3600" w:val="num"/>
        </w:tabs>
        <w:ind w:hanging="360" w:left="3600"/>
      </w:pPr>
      <w:rPr>
        <w:rFonts w:hint="default"/>
      </w:rPr>
    </w:lvl>
    <w:lvl w:ilvl="5">
      <w:start w:val="1"/>
      <w:numFmt w:val="decimal"/>
      <w:lvlText w:val="%6."/>
      <w:lvlJc w:val="left"/>
      <w:pPr>
        <w:tabs>
          <w:tab w:pos="4320" w:val="num"/>
        </w:tabs>
        <w:ind w:hanging="360" w:left="4320"/>
      </w:pPr>
      <w:rPr>
        <w:rFonts w:hint="default"/>
      </w:rPr>
    </w:lvl>
    <w:lvl w:ilvl="6">
      <w:start w:val="1"/>
      <w:numFmt w:val="decimal"/>
      <w:lvlText w:val="%7."/>
      <w:lvlJc w:val="left"/>
      <w:pPr>
        <w:tabs>
          <w:tab w:pos="5040" w:val="num"/>
        </w:tabs>
        <w:ind w:hanging="360" w:left="5040"/>
      </w:pPr>
      <w:rPr>
        <w:rFonts w:hint="default"/>
      </w:rPr>
    </w:lvl>
    <w:lvl w:ilvl="7">
      <w:start w:val="1"/>
      <w:numFmt w:val="decimal"/>
      <w:lvlText w:val="%8."/>
      <w:lvlJc w:val="left"/>
      <w:pPr>
        <w:tabs>
          <w:tab w:pos="5760" w:val="num"/>
        </w:tabs>
        <w:ind w:hanging="360" w:left="5760"/>
      </w:pPr>
      <w:rPr>
        <w:rFonts w:hint="default"/>
      </w:rPr>
    </w:lvl>
    <w:lvl w:ilvl="8">
      <w:start w:val="1"/>
      <w:numFmt w:val="decimal"/>
      <w:lvlText w:val="%9."/>
      <w:lvlJc w:val="left"/>
      <w:pPr>
        <w:tabs>
          <w:tab w:pos="6480" w:val="num"/>
        </w:tabs>
        <w:ind w:hanging="360" w:left="6480"/>
      </w:pPr>
      <w:rPr>
        <w:rFonts w:hint="default"/>
      </w:rPr>
    </w:lvl>
  </w:abstractNum>
  <w:abstractNum w15:restartNumberingAfterBreak="0" w:abstractNumId="52">
    <w:nsid w:val="638E0818"/>
    <w:multiLevelType w:val="multilevel"/>
    <w:tmpl w:val="87400CB4"/>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53">
    <w:nsid w:val="663C6669"/>
    <w:multiLevelType w:val="multilevel"/>
    <w:tmpl w:val="310E4EA2"/>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54">
    <w:nsid w:val="6E8E16D9"/>
    <w:multiLevelType w:val="multilevel"/>
    <w:tmpl w:val="78408FA0"/>
    <w:lvl w:ilvl="0">
      <w:start w:val="1"/>
      <w:numFmt w:val="decimal"/>
      <w:lvlText w:val="%1."/>
      <w:lvlJc w:val="left"/>
      <w:pPr>
        <w:tabs>
          <w:tab w:pos="720" w:val="num"/>
        </w:tabs>
        <w:ind w:hanging="360" w:left="720"/>
      </w:pPr>
    </w:lvl>
    <w:lvl w:ilvl="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55">
    <w:nsid w:val="725332EC"/>
    <w:multiLevelType w:val="hybridMultilevel"/>
    <w:tmpl w:val="71E6F550"/>
    <w:lvl w:ilvl="0" w:tplc="0409000F">
      <w:start w:val="1"/>
      <w:numFmt w:val="decimal"/>
      <w:lvlText w:val="%1."/>
      <w:lvlJc w:val="left"/>
      <w:pPr>
        <w:ind w:hanging="360" w:left="720"/>
      </w:p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15:restartNumberingAfterBreak="0" w:abstractNumId="56">
    <w:nsid w:val="75C546CE"/>
    <w:multiLevelType w:val="multilevel"/>
    <w:tmpl w:val="34A27D3E"/>
    <w:lvl w:ilvl="0">
      <w:start w:val="1"/>
      <w:numFmt w:val="bullet"/>
      <w:lvlText w:val=""/>
      <w:lvlJc w:val="left"/>
      <w:pPr>
        <w:tabs>
          <w:tab w:pos="720" w:val="num"/>
        </w:tabs>
        <w:ind w:hanging="360" w:left="720"/>
      </w:pPr>
      <w:rPr>
        <w:rFonts w:ascii="Symbol" w:hAnsi="Symbol" w:hint="default"/>
        <w:sz w:val="20"/>
      </w:rPr>
    </w:lvl>
    <w:lvl w:ilvl="1" w:tentative="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57">
    <w:nsid w:val="7A1D7E36"/>
    <w:multiLevelType w:val="multilevel"/>
    <w:tmpl w:val="83F4907C"/>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58">
    <w:nsid w:val="7B2F1B7B"/>
    <w:multiLevelType w:val="hybridMultilevel"/>
    <w:tmpl w:val="2A80B47E"/>
    <w:lvl w:ilvl="0" w:tplc="9F40C542">
      <w:start w:val="1"/>
      <w:numFmt w:val="decimal"/>
      <w:lvlText w:val="%1."/>
      <w:lvlJc w:val="left"/>
      <w:pPr>
        <w:ind w:hanging="360" w:left="720"/>
      </w:pPr>
      <w:rPr>
        <w:rFonts w:hint="default"/>
        <w:sz w:val="16"/>
      </w:rPr>
    </w:lvl>
    <w:lvl w:ilvl="1" w:tentative="1" w:tplc="04090019">
      <w:start w:val="1"/>
      <w:numFmt w:val="lowerLetter"/>
      <w:lvlText w:val="%2."/>
      <w:lvlJc w:val="left"/>
      <w:pPr>
        <w:ind w:hanging="360" w:left="1440"/>
      </w:pPr>
    </w:lvl>
    <w:lvl w:ilvl="2" w:tentative="1" w:tplc="0409001B">
      <w:start w:val="1"/>
      <w:numFmt w:val="lowerRoman"/>
      <w:lvlText w:val="%3."/>
      <w:lvlJc w:val="right"/>
      <w:pPr>
        <w:ind w:hanging="180" w:left="2160"/>
      </w:pPr>
    </w:lvl>
    <w:lvl w:ilvl="3" w:tentative="1" w:tplc="0409000F">
      <w:start w:val="1"/>
      <w:numFmt w:val="decimal"/>
      <w:lvlText w:val="%4."/>
      <w:lvlJc w:val="left"/>
      <w:pPr>
        <w:ind w:hanging="360" w:left="2880"/>
      </w:pPr>
    </w:lvl>
    <w:lvl w:ilvl="4" w:tentative="1" w:tplc="04090019">
      <w:start w:val="1"/>
      <w:numFmt w:val="lowerLetter"/>
      <w:lvlText w:val="%5."/>
      <w:lvlJc w:val="left"/>
      <w:pPr>
        <w:ind w:hanging="360" w:left="3600"/>
      </w:pPr>
    </w:lvl>
    <w:lvl w:ilvl="5" w:tentative="1" w:tplc="0409001B">
      <w:start w:val="1"/>
      <w:numFmt w:val="lowerRoman"/>
      <w:lvlText w:val="%6."/>
      <w:lvlJc w:val="right"/>
      <w:pPr>
        <w:ind w:hanging="180" w:left="4320"/>
      </w:pPr>
    </w:lvl>
    <w:lvl w:ilvl="6" w:tentative="1" w:tplc="0409000F">
      <w:start w:val="1"/>
      <w:numFmt w:val="decimal"/>
      <w:lvlText w:val="%7."/>
      <w:lvlJc w:val="left"/>
      <w:pPr>
        <w:ind w:hanging="360" w:left="5040"/>
      </w:pPr>
    </w:lvl>
    <w:lvl w:ilvl="7" w:tentative="1" w:tplc="04090019">
      <w:start w:val="1"/>
      <w:numFmt w:val="lowerLetter"/>
      <w:lvlText w:val="%8."/>
      <w:lvlJc w:val="left"/>
      <w:pPr>
        <w:ind w:hanging="360" w:left="5760"/>
      </w:pPr>
    </w:lvl>
    <w:lvl w:ilvl="8" w:tentative="1" w:tplc="0409001B">
      <w:start w:val="1"/>
      <w:numFmt w:val="lowerRoman"/>
      <w:lvlText w:val="%9."/>
      <w:lvlJc w:val="right"/>
      <w:pPr>
        <w:ind w:hanging="18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29260910" w:numId="1">
    <w:abstractNumId w:val="31"/>
  </w:num>
  <w:num w16cid:durableId="1898854438" w:numId="2">
    <w:abstractNumId w:val="12"/>
    <w:lvlOverride w:ilvl="0">
      <w:lvl w:ilvl="0">
        <w:start w:val="1"/>
        <w:numFmt w:val="lowerLetter"/>
        <w:lvlText w:val="%1)"/>
        <w:lvlJc w:val="left"/>
        <w:pPr>
          <w:ind w:hanging="360" w:left="720"/>
        </w:pPr>
      </w:lvl>
    </w:lvlOverride>
    <w:lvlOverride w:ilvl="1">
      <w:lvl w:ilvl="1" w:tentative="1">
        <w:start w:val="1"/>
        <w:numFmt w:val="lowerLetter"/>
        <w:lvlText w:val="%2."/>
        <w:lvlJc w:val="left"/>
        <w:pPr>
          <w:ind w:hanging="360" w:left="1440"/>
        </w:pPr>
      </w:lvl>
    </w:lvlOverride>
    <w:lvlOverride w:ilvl="2">
      <w:lvl w:ilvl="2" w:tentative="1">
        <w:start w:val="1"/>
        <w:numFmt w:val="lowerRoman"/>
        <w:lvlText w:val="%3."/>
        <w:lvlJc w:val="right"/>
        <w:pPr>
          <w:ind w:hanging="180" w:left="2160"/>
        </w:pPr>
      </w:lvl>
    </w:lvlOverride>
    <w:lvlOverride w:ilvl="3">
      <w:lvl w:ilvl="3" w:tentative="1">
        <w:start w:val="1"/>
        <w:numFmt w:val="decimal"/>
        <w:lvlText w:val="%4."/>
        <w:lvlJc w:val="left"/>
        <w:pPr>
          <w:ind w:hanging="360" w:left="2880"/>
        </w:pPr>
      </w:lvl>
    </w:lvlOverride>
    <w:lvlOverride w:ilvl="4">
      <w:lvl w:ilvl="4" w:tentative="1">
        <w:start w:val="1"/>
        <w:numFmt w:val="lowerLetter"/>
        <w:lvlText w:val="%5."/>
        <w:lvlJc w:val="left"/>
        <w:pPr>
          <w:ind w:hanging="360" w:left="3600"/>
        </w:pPr>
      </w:lvl>
    </w:lvlOverride>
    <w:lvlOverride w:ilvl="5">
      <w:lvl w:ilvl="5" w:tentative="1">
        <w:start w:val="1"/>
        <w:numFmt w:val="lowerRoman"/>
        <w:lvlText w:val="%6."/>
        <w:lvlJc w:val="right"/>
        <w:pPr>
          <w:ind w:hanging="180" w:left="4320"/>
        </w:pPr>
      </w:lvl>
    </w:lvlOverride>
    <w:lvlOverride w:ilvl="6">
      <w:lvl w:ilvl="6" w:tentative="1">
        <w:start w:val="1"/>
        <w:numFmt w:val="decimal"/>
        <w:lvlText w:val="%7."/>
        <w:lvlJc w:val="left"/>
        <w:pPr>
          <w:ind w:hanging="360" w:left="5040"/>
        </w:pPr>
      </w:lvl>
    </w:lvlOverride>
    <w:lvlOverride w:ilvl="7">
      <w:lvl w:ilvl="7" w:tentative="1">
        <w:start w:val="1"/>
        <w:numFmt w:val="lowerLetter"/>
        <w:lvlText w:val="%8."/>
        <w:lvlJc w:val="left"/>
        <w:pPr>
          <w:ind w:hanging="360" w:left="5760"/>
        </w:pPr>
      </w:lvl>
    </w:lvlOverride>
    <w:lvlOverride w:ilvl="8">
      <w:lvl w:ilvl="8" w:tentative="1">
        <w:start w:val="1"/>
        <w:numFmt w:val="lowerRoman"/>
        <w:lvlText w:val="%9."/>
        <w:lvlJc w:val="right"/>
        <w:pPr>
          <w:ind w:hanging="180" w:left="6480"/>
        </w:pPr>
      </w:lvl>
    </w:lvlOverride>
  </w:num>
  <w:num w16cid:durableId="1183930945" w:numId="3">
    <w:abstractNumId w:val="41"/>
  </w:num>
  <w:num w16cid:durableId="875117576" w:numId="4">
    <w:abstractNumId w:val="54"/>
  </w:num>
  <w:num w16cid:durableId="11688274" w:numId="5">
    <w:abstractNumId w:val="17"/>
  </w:num>
  <w:num w16cid:durableId="34090417" w:numId="6">
    <w:abstractNumId w:val="48"/>
  </w:num>
  <w:num w16cid:durableId="1744520403" w:numId="7">
    <w:abstractNumId w:val="36"/>
  </w:num>
  <w:num w16cid:durableId="205155" w:numId="8">
    <w:abstractNumId w:val="9"/>
  </w:num>
  <w:num w16cid:durableId="756175423" w:numId="9">
    <w:abstractNumId w:val="12"/>
    <w:lvlOverride w:ilvl="0">
      <w:lvl w:ilvl="0">
        <w:start w:val="1"/>
        <w:numFmt w:val="lowerLetter"/>
        <w:lvlText w:val="%1)"/>
        <w:lvlJc w:val="left"/>
        <w:pPr>
          <w:ind w:hanging="360" w:left="720"/>
        </w:pPr>
      </w:lvl>
    </w:lvlOverride>
    <w:lvlOverride w:ilvl="1">
      <w:lvl w:ilvl="1" w:tentative="1">
        <w:start w:val="1"/>
        <w:numFmt w:val="lowerLetter"/>
        <w:lvlText w:val="%2."/>
        <w:lvlJc w:val="left"/>
        <w:pPr>
          <w:ind w:hanging="360" w:left="1440"/>
        </w:pPr>
      </w:lvl>
    </w:lvlOverride>
    <w:lvlOverride w:ilvl="2">
      <w:lvl w:ilvl="2" w:tentative="1">
        <w:start w:val="1"/>
        <w:numFmt w:val="lowerRoman"/>
        <w:lvlText w:val="%3."/>
        <w:lvlJc w:val="right"/>
        <w:pPr>
          <w:ind w:hanging="180" w:left="2160"/>
        </w:pPr>
      </w:lvl>
    </w:lvlOverride>
    <w:lvlOverride w:ilvl="3">
      <w:lvl w:ilvl="3" w:tentative="1">
        <w:start w:val="1"/>
        <w:numFmt w:val="decimal"/>
        <w:lvlText w:val="%4."/>
        <w:lvlJc w:val="left"/>
        <w:pPr>
          <w:ind w:hanging="360" w:left="2880"/>
        </w:pPr>
      </w:lvl>
    </w:lvlOverride>
    <w:lvlOverride w:ilvl="4">
      <w:lvl w:ilvl="4" w:tentative="1">
        <w:start w:val="1"/>
        <w:numFmt w:val="lowerLetter"/>
        <w:lvlText w:val="%5."/>
        <w:lvlJc w:val="left"/>
        <w:pPr>
          <w:ind w:hanging="360" w:left="3600"/>
        </w:pPr>
      </w:lvl>
    </w:lvlOverride>
    <w:lvlOverride w:ilvl="5">
      <w:lvl w:ilvl="5" w:tentative="1">
        <w:start w:val="1"/>
        <w:numFmt w:val="lowerRoman"/>
        <w:lvlText w:val="%6."/>
        <w:lvlJc w:val="right"/>
        <w:pPr>
          <w:ind w:hanging="180" w:left="4320"/>
        </w:pPr>
      </w:lvl>
    </w:lvlOverride>
    <w:lvlOverride w:ilvl="6">
      <w:lvl w:ilvl="6" w:tentative="1">
        <w:start w:val="1"/>
        <w:numFmt w:val="decimal"/>
        <w:lvlText w:val="%7."/>
        <w:lvlJc w:val="left"/>
        <w:pPr>
          <w:ind w:hanging="360" w:left="5040"/>
        </w:pPr>
      </w:lvl>
    </w:lvlOverride>
    <w:lvlOverride w:ilvl="7">
      <w:lvl w:ilvl="7" w:tentative="1">
        <w:start w:val="1"/>
        <w:numFmt w:val="lowerLetter"/>
        <w:lvlText w:val="%8."/>
        <w:lvlJc w:val="left"/>
        <w:pPr>
          <w:ind w:hanging="360" w:left="5760"/>
        </w:pPr>
      </w:lvl>
    </w:lvlOverride>
    <w:lvlOverride w:ilvl="8">
      <w:lvl w:ilvl="8" w:tentative="1">
        <w:start w:val="1"/>
        <w:numFmt w:val="lowerRoman"/>
        <w:lvlText w:val="%9."/>
        <w:lvlJc w:val="right"/>
        <w:pPr>
          <w:ind w:hanging="180" w:left="6480"/>
        </w:pPr>
      </w:lvl>
    </w:lvlOverride>
  </w:num>
  <w:num w16cid:durableId="1118404090" w:numId="10">
    <w:abstractNumId w:val="27"/>
  </w:num>
  <w:num w16cid:durableId="1833253290" w:numId="11">
    <w:abstractNumId w:val="4"/>
  </w:num>
  <w:num w16cid:durableId="960037517" w:numId="12">
    <w:abstractNumId w:val="58"/>
  </w:num>
  <w:num w16cid:durableId="388917613" w:numId="13">
    <w:abstractNumId w:val="6"/>
  </w:num>
  <w:num w16cid:durableId="1009482564" w:numId="14">
    <w:abstractNumId w:val="25"/>
  </w:num>
  <w:num w16cid:durableId="375006923" w:numId="15">
    <w:abstractNumId w:val="35"/>
  </w:num>
  <w:num w16cid:durableId="659768776" w:numId="16">
    <w:abstractNumId w:val="53"/>
  </w:num>
  <w:num w16cid:durableId="1016923804" w:numId="17">
    <w:abstractNumId w:val="0"/>
  </w:num>
  <w:num w16cid:durableId="1363088212" w:numId="18">
    <w:abstractNumId w:val="38"/>
  </w:num>
  <w:num w16cid:durableId="732969580" w:numId="19">
    <w:abstractNumId w:val="42"/>
  </w:num>
  <w:num w16cid:durableId="476073157" w:numId="20">
    <w:abstractNumId w:val="26"/>
  </w:num>
  <w:num w16cid:durableId="736124588" w:numId="21">
    <w:abstractNumId w:val="22"/>
  </w:num>
  <w:num w16cid:durableId="2128962647" w:numId="22">
    <w:abstractNumId w:val="52"/>
  </w:num>
  <w:num w16cid:durableId="896865266" w:numId="23">
    <w:abstractNumId w:val="57"/>
  </w:num>
  <w:num w16cid:durableId="1479148198" w:numId="24">
    <w:abstractNumId w:val="33"/>
  </w:num>
  <w:num w16cid:durableId="478115821" w:numId="25">
    <w:abstractNumId w:val="34"/>
  </w:num>
  <w:num w16cid:durableId="139924131" w:numId="26">
    <w:abstractNumId w:val="18"/>
  </w:num>
  <w:num w16cid:durableId="1465807580" w:numId="27">
    <w:abstractNumId w:val="29"/>
  </w:num>
  <w:num w16cid:durableId="2126460730" w:numId="28">
    <w:abstractNumId w:val="55"/>
  </w:num>
  <w:num w16cid:durableId="721488276" w:numId="29">
    <w:abstractNumId w:val="30"/>
  </w:num>
  <w:num w16cid:durableId="1265772688" w:numId="30">
    <w:abstractNumId w:val="28"/>
  </w:num>
  <w:num w16cid:durableId="404649400" w:numId="31">
    <w:abstractNumId w:val="15"/>
  </w:num>
  <w:num w16cid:durableId="970671377" w:numId="32">
    <w:abstractNumId w:val="7"/>
  </w:num>
  <w:num w16cid:durableId="505291152" w:numId="33">
    <w:abstractNumId w:val="46"/>
  </w:num>
  <w:num w16cid:durableId="317462343" w:numId="34">
    <w:abstractNumId w:val="32"/>
  </w:num>
  <w:num w16cid:durableId="1820413325" w:numId="35">
    <w:abstractNumId w:val="44"/>
  </w:num>
  <w:num w16cid:durableId="2131435792" w:numId="36">
    <w:abstractNumId w:val="47"/>
  </w:num>
  <w:num w16cid:durableId="2102020668" w:numId="37">
    <w:abstractNumId w:val="3"/>
  </w:num>
  <w:num w16cid:durableId="2076777457" w:numId="38">
    <w:abstractNumId w:val="19"/>
  </w:num>
  <w:num w16cid:durableId="252010957" w:numId="39">
    <w:abstractNumId w:val="19"/>
    <w:lvlOverride w:ilvl="1">
      <w:lvl w:ilvl="1">
        <w:numFmt w:val="lowerLetter"/>
        <w:lvlText w:val="%2."/>
        <w:lvlJc w:val="left"/>
      </w:lvl>
    </w:lvlOverride>
  </w:num>
  <w:num w16cid:durableId="1486822852" w:numId="40">
    <w:abstractNumId w:val="19"/>
    <w:lvlOverride w:ilvl="1">
      <w:lvl w:ilvl="1">
        <w:numFmt w:val="lowerLetter"/>
        <w:lvlText w:val="%2."/>
        <w:lvlJc w:val="left"/>
      </w:lvl>
    </w:lvlOverride>
  </w:num>
  <w:num w16cid:durableId="1970738953" w:numId="41">
    <w:abstractNumId w:val="19"/>
    <w:lvlOverride w:ilvl="1">
      <w:lvl w:ilvl="1">
        <w:numFmt w:val="lowerLetter"/>
        <w:lvlText w:val="%2."/>
        <w:lvlJc w:val="left"/>
      </w:lvl>
    </w:lvlOverride>
  </w:num>
  <w:num w16cid:durableId="1971402343" w:numId="42">
    <w:abstractNumId w:val="19"/>
    <w:lvlOverride w:ilvl="1">
      <w:lvl w:ilvl="1">
        <w:numFmt w:val="lowerLetter"/>
        <w:lvlText w:val="%2."/>
        <w:lvlJc w:val="left"/>
      </w:lvl>
    </w:lvlOverride>
  </w:num>
  <w:num w16cid:durableId="1570725457" w:numId="43">
    <w:abstractNumId w:val="19"/>
    <w:lvlOverride w:ilvl="1">
      <w:lvl w:ilvl="1">
        <w:numFmt w:val="lowerLetter"/>
        <w:lvlText w:val="%2."/>
        <w:lvlJc w:val="left"/>
      </w:lvl>
    </w:lvlOverride>
  </w:num>
  <w:num w16cid:durableId="1332951539" w:numId="44">
    <w:abstractNumId w:val="19"/>
    <w:lvlOverride w:ilvl="1">
      <w:lvl w:ilvl="1">
        <w:numFmt w:val="lowerLetter"/>
        <w:lvlText w:val="%2."/>
        <w:lvlJc w:val="left"/>
      </w:lvl>
    </w:lvlOverride>
  </w:num>
  <w:num w16cid:durableId="1403485377" w:numId="45">
    <w:abstractNumId w:val="19"/>
    <w:lvlOverride w:ilvl="1">
      <w:lvl w:ilvl="1">
        <w:numFmt w:val="lowerLetter"/>
        <w:lvlText w:val="%2."/>
        <w:lvlJc w:val="left"/>
      </w:lvl>
    </w:lvlOverride>
  </w:num>
  <w:num w16cid:durableId="1300307869" w:numId="46">
    <w:abstractNumId w:val="19"/>
    <w:lvlOverride w:ilvl="1">
      <w:lvl w:ilvl="1">
        <w:numFmt w:val="lowerLetter"/>
        <w:lvlText w:val="%2."/>
        <w:lvlJc w:val="left"/>
      </w:lvl>
    </w:lvlOverride>
  </w:num>
  <w:num w16cid:durableId="774596549" w:numId="47">
    <w:abstractNumId w:val="24"/>
  </w:num>
  <w:num w16cid:durableId="1129779288" w:numId="48">
    <w:abstractNumId w:val="23"/>
  </w:num>
  <w:num w16cid:durableId="1477458177" w:numId="49">
    <w:abstractNumId w:val="14"/>
  </w:num>
  <w:num w16cid:durableId="1664820174" w:numId="50">
    <w:abstractNumId w:val="10"/>
    <w:lvlOverride w:ilvl="1">
      <w:lvl w:ilvl="1">
        <w:numFmt w:val="lowerLetter"/>
        <w:lvlText w:val="%2."/>
        <w:lvlJc w:val="left"/>
      </w:lvl>
    </w:lvlOverride>
  </w:num>
  <w:num w16cid:durableId="589387261" w:numId="51">
    <w:abstractNumId w:val="10"/>
    <w:lvlOverride w:ilvl="2">
      <w:lvl w:ilvl="2">
        <w:numFmt w:val="lowerRoman"/>
        <w:lvlText w:val="%3."/>
        <w:lvlJc w:val="right"/>
      </w:lvl>
    </w:lvlOverride>
  </w:num>
  <w:num w16cid:durableId="1304965973" w:numId="52">
    <w:abstractNumId w:val="10"/>
    <w:lvlOverride w:ilvl="2">
      <w:lvl w:ilvl="2">
        <w:numFmt w:val="lowerRoman"/>
        <w:lvlText w:val="%3."/>
        <w:lvlJc w:val="right"/>
      </w:lvl>
    </w:lvlOverride>
  </w:num>
  <w:num w16cid:durableId="196352652" w:numId="53">
    <w:abstractNumId w:val="10"/>
    <w:lvlOverride w:ilvl="1">
      <w:lvl w:ilvl="1">
        <w:numFmt w:val="lowerLetter"/>
        <w:lvlText w:val="%2."/>
        <w:lvlJc w:val="left"/>
      </w:lvl>
    </w:lvlOverride>
  </w:num>
  <w:num w16cid:durableId="1902476975" w:numId="54">
    <w:abstractNumId w:val="10"/>
    <w:lvlOverride w:ilvl="2">
      <w:lvl w:ilvl="2">
        <w:numFmt w:val="lowerRoman"/>
        <w:lvlText w:val="%3."/>
        <w:lvlJc w:val="right"/>
      </w:lvl>
    </w:lvlOverride>
  </w:num>
  <w:num w16cid:durableId="983898822" w:numId="55">
    <w:abstractNumId w:val="10"/>
    <w:lvlOverride w:ilvl="2">
      <w:lvl w:ilvl="2">
        <w:numFmt w:val="lowerRoman"/>
        <w:lvlText w:val="%3."/>
        <w:lvlJc w:val="right"/>
      </w:lvl>
    </w:lvlOverride>
  </w:num>
  <w:num w16cid:durableId="481772598" w:numId="56">
    <w:abstractNumId w:val="10"/>
    <w:lvlOverride w:ilvl="1">
      <w:lvl w:ilvl="1">
        <w:numFmt w:val="lowerLetter"/>
        <w:lvlText w:val="%2."/>
        <w:lvlJc w:val="left"/>
      </w:lvl>
    </w:lvlOverride>
  </w:num>
  <w:num w16cid:durableId="633369780" w:numId="57">
    <w:abstractNumId w:val="10"/>
    <w:lvlOverride w:ilvl="2">
      <w:lvl w:ilvl="2">
        <w:numFmt w:val="lowerRoman"/>
        <w:lvlText w:val="%3."/>
        <w:lvlJc w:val="right"/>
      </w:lvl>
    </w:lvlOverride>
  </w:num>
  <w:num w16cid:durableId="1122190906" w:numId="58">
    <w:abstractNumId w:val="10"/>
    <w:lvlOverride w:ilvl="2">
      <w:lvl w:ilvl="2">
        <w:numFmt w:val="lowerRoman"/>
        <w:lvlText w:val="%3."/>
        <w:lvlJc w:val="right"/>
      </w:lvl>
    </w:lvlOverride>
  </w:num>
  <w:num w16cid:durableId="680622930" w:numId="59">
    <w:abstractNumId w:val="10"/>
    <w:lvlOverride w:ilvl="1">
      <w:lvl w:ilvl="1">
        <w:numFmt w:val="lowerLetter"/>
        <w:lvlText w:val="%2."/>
        <w:lvlJc w:val="left"/>
      </w:lvl>
    </w:lvlOverride>
  </w:num>
  <w:num w16cid:durableId="844127668" w:numId="60">
    <w:abstractNumId w:val="10"/>
    <w:lvlOverride w:ilvl="2">
      <w:lvl w:ilvl="2">
        <w:numFmt w:val="lowerRoman"/>
        <w:lvlText w:val="%3."/>
        <w:lvlJc w:val="right"/>
      </w:lvl>
    </w:lvlOverride>
  </w:num>
  <w:num w16cid:durableId="1912351273" w:numId="61">
    <w:abstractNumId w:val="10"/>
    <w:lvlOverride w:ilvl="2">
      <w:lvl w:ilvl="2">
        <w:numFmt w:val="lowerRoman"/>
        <w:lvlText w:val="%3."/>
        <w:lvlJc w:val="right"/>
      </w:lvl>
    </w:lvlOverride>
  </w:num>
  <w:num w16cid:durableId="1368868211" w:numId="62">
    <w:abstractNumId w:val="10"/>
    <w:lvlOverride w:ilvl="1">
      <w:lvl w:ilvl="1">
        <w:numFmt w:val="lowerLetter"/>
        <w:lvlText w:val="%2."/>
        <w:lvlJc w:val="left"/>
      </w:lvl>
    </w:lvlOverride>
  </w:num>
  <w:num w16cid:durableId="805123822" w:numId="63">
    <w:abstractNumId w:val="10"/>
    <w:lvlOverride w:ilvl="2">
      <w:lvl w:ilvl="2">
        <w:numFmt w:val="lowerRoman"/>
        <w:lvlText w:val="%3."/>
        <w:lvlJc w:val="right"/>
      </w:lvl>
    </w:lvlOverride>
  </w:num>
  <w:num w16cid:durableId="1899514384" w:numId="64">
    <w:abstractNumId w:val="10"/>
    <w:lvlOverride w:ilvl="2">
      <w:lvl w:ilvl="2">
        <w:numFmt w:val="lowerRoman"/>
        <w:lvlText w:val="%3."/>
        <w:lvlJc w:val="right"/>
      </w:lvl>
    </w:lvlOverride>
  </w:num>
  <w:num w16cid:durableId="1146432342" w:numId="65">
    <w:abstractNumId w:val="21"/>
  </w:num>
  <w:num w16cid:durableId="223418725" w:numId="66">
    <w:abstractNumId w:val="16"/>
  </w:num>
  <w:num w16cid:durableId="698360265" w:numId="67">
    <w:abstractNumId w:val="56"/>
  </w:num>
  <w:num w16cid:durableId="964118660" w:numId="68">
    <w:abstractNumId w:val="50"/>
  </w:num>
  <w:num w16cid:durableId="2041280735" w:numId="69">
    <w:abstractNumId w:val="51"/>
  </w:num>
  <w:num w16cid:durableId="552429114" w:numId="70">
    <w:abstractNumId w:val="51"/>
    <w:lvlOverride w:ilvl="1">
      <w:lvl w:ilvl="1">
        <w:numFmt w:val="lowerLetter"/>
        <w:lvlText w:val="%2."/>
        <w:lvlJc w:val="left"/>
      </w:lvl>
    </w:lvlOverride>
  </w:num>
  <w:num w16cid:durableId="1819609845" w:numId="71">
    <w:abstractNumId w:val="51"/>
    <w:lvlOverride w:ilvl="1">
      <w:lvl w:ilvl="1">
        <w:numFmt w:val="lowerLetter"/>
        <w:lvlText w:val="%2."/>
        <w:lvlJc w:val="left"/>
      </w:lvl>
    </w:lvlOverride>
  </w:num>
  <w:num w16cid:durableId="687874919" w:numId="72">
    <w:abstractNumId w:val="1"/>
  </w:num>
  <w:num w16cid:durableId="695734828" w:numId="73">
    <w:abstractNumId w:val="45"/>
  </w:num>
  <w:num w16cid:durableId="699627508" w:numId="74">
    <w:abstractNumId w:val="39"/>
  </w:num>
  <w:num w16cid:durableId="1461875198" w:numId="75">
    <w:abstractNumId w:val="11"/>
  </w:num>
  <w:num w16cid:durableId="1613705027" w:numId="76">
    <w:abstractNumId w:val="49"/>
  </w:num>
  <w:num w16cid:durableId="1307928962" w:numId="77">
    <w:abstractNumId w:val="8"/>
  </w:num>
  <w:num w16cid:durableId="1379235714" w:numId="78">
    <w:abstractNumId w:val="13"/>
  </w:num>
  <w:num w16cid:durableId="1930041232" w:numId="79">
    <w:abstractNumId w:val="20"/>
  </w:num>
  <w:num w16cid:durableId="1747459186" w:numId="80">
    <w:abstractNumId w:val="2"/>
  </w:num>
  <w:num w16cid:durableId="1291789105" w:numId="81">
    <w:abstractNumId w:val="43"/>
    <w:lvlOverride w:ilvl="1">
      <w:lvl w:ilvl="1">
        <w:numFmt w:val="lowerLetter"/>
        <w:lvlText w:val="%2."/>
        <w:lvlJc w:val="left"/>
      </w:lvl>
    </w:lvlOverride>
  </w:num>
  <w:num w16cid:durableId="1435057995" w:numId="82">
    <w:abstractNumId w:val="43"/>
    <w:lvlOverride w:ilvl="1">
      <w:lvl w:ilvl="1">
        <w:numFmt w:val="lowerLetter"/>
        <w:lvlText w:val="%2."/>
        <w:lvlJc w:val="left"/>
      </w:lvl>
    </w:lvlOverride>
  </w:num>
  <w:num w16cid:durableId="1331130316" w:numId="83">
    <w:abstractNumId w:val="43"/>
    <w:lvlOverride w:ilvl="1">
      <w:lvl w:ilvl="1">
        <w:numFmt w:val="lowerLetter"/>
        <w:lvlText w:val="%2."/>
        <w:lvlJc w:val="left"/>
      </w:lvl>
    </w:lvlOverride>
  </w:num>
  <w:num w16cid:durableId="588848893" w:numId="84">
    <w:abstractNumId w:val="43"/>
    <w:lvlOverride w:ilvl="1">
      <w:lvl w:ilvl="1">
        <w:numFmt w:val="lowerLetter"/>
        <w:lvlText w:val="%2."/>
        <w:lvlJc w:val="left"/>
      </w:lvl>
    </w:lvlOverride>
  </w:num>
  <w:num w16cid:durableId="2082945453" w:numId="85">
    <w:abstractNumId w:val="43"/>
    <w:lvlOverride w:ilvl="1">
      <w:lvl w:ilvl="1">
        <w:numFmt w:val="lowerLetter"/>
        <w:lvlText w:val="%2."/>
        <w:lvlJc w:val="left"/>
      </w:lvl>
    </w:lvlOverride>
  </w:num>
  <w:num w16cid:durableId="2085957352" w:numId="86">
    <w:abstractNumId w:val="43"/>
    <w:lvlOverride w:ilvl="1">
      <w:lvl w:ilvl="1">
        <w:numFmt w:val="lowerLetter"/>
        <w:lvlText w:val="%2."/>
        <w:lvlJc w:val="left"/>
      </w:lvl>
    </w:lvlOverride>
  </w:num>
  <w:num w16cid:durableId="566303695" w:numId="87">
    <w:abstractNumId w:val="5"/>
  </w:num>
  <w:num w16cid:durableId="334498893" w:numId="88">
    <w:abstractNumId w:val="40"/>
  </w:num>
  <w:num w16cid:durableId="1365255989" w:numId="89">
    <w:abstractNumId w:val="37"/>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439"/>
  <w:embedSystemFonts/>
  <w:proofState w:grammar="clean" w:spelling="clean"/>
  <w:stylePaneFormatFilter w:val="0004"/>
  <w:doNotTrackMoves/>
  <w:defaultTabStop w:val="720"/>
  <w:defaultTableStyle w:val="TableGrid"/>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E2"/>
    <w:rsid w:val="000000C1"/>
    <w:rsid w:val="0000093A"/>
    <w:rsid w:val="000012F7"/>
    <w:rsid w:val="00003F06"/>
    <w:rsid w:val="00005396"/>
    <w:rsid w:val="000059F2"/>
    <w:rsid w:val="00010370"/>
    <w:rsid w:val="00010B7E"/>
    <w:rsid w:val="000155CA"/>
    <w:rsid w:val="000174B6"/>
    <w:rsid w:val="00020628"/>
    <w:rsid w:val="000209B2"/>
    <w:rsid w:val="00024E96"/>
    <w:rsid w:val="0002598B"/>
    <w:rsid w:val="00026700"/>
    <w:rsid w:val="00026741"/>
    <w:rsid w:val="00026DE2"/>
    <w:rsid w:val="00027413"/>
    <w:rsid w:val="00027474"/>
    <w:rsid w:val="00027A0D"/>
    <w:rsid w:val="000323CF"/>
    <w:rsid w:val="00033F22"/>
    <w:rsid w:val="0003561A"/>
    <w:rsid w:val="00035740"/>
    <w:rsid w:val="00036EA0"/>
    <w:rsid w:val="00036FF9"/>
    <w:rsid w:val="00040510"/>
    <w:rsid w:val="00040D9B"/>
    <w:rsid w:val="000424AF"/>
    <w:rsid w:val="00042730"/>
    <w:rsid w:val="00042951"/>
    <w:rsid w:val="00042B03"/>
    <w:rsid w:val="00042F4E"/>
    <w:rsid w:val="00046B06"/>
    <w:rsid w:val="00046B55"/>
    <w:rsid w:val="000506DC"/>
    <w:rsid w:val="00051699"/>
    <w:rsid w:val="00051A2D"/>
    <w:rsid w:val="00051C16"/>
    <w:rsid w:val="00053824"/>
    <w:rsid w:val="000558CF"/>
    <w:rsid w:val="00056135"/>
    <w:rsid w:val="00056701"/>
    <w:rsid w:val="00056B08"/>
    <w:rsid w:val="0005754E"/>
    <w:rsid w:val="00061659"/>
    <w:rsid w:val="00061A16"/>
    <w:rsid w:val="00062BBA"/>
    <w:rsid w:val="00064390"/>
    <w:rsid w:val="000651DB"/>
    <w:rsid w:val="00066244"/>
    <w:rsid w:val="00066E4B"/>
    <w:rsid w:val="00073405"/>
    <w:rsid w:val="00073407"/>
    <w:rsid w:val="00074D81"/>
    <w:rsid w:val="00075638"/>
    <w:rsid w:val="00077B0A"/>
    <w:rsid w:val="0008331F"/>
    <w:rsid w:val="0008501B"/>
    <w:rsid w:val="0008506C"/>
    <w:rsid w:val="00090F63"/>
    <w:rsid w:val="00091A67"/>
    <w:rsid w:val="00093AB3"/>
    <w:rsid w:val="00095920"/>
    <w:rsid w:val="00097C8B"/>
    <w:rsid w:val="000A1A11"/>
    <w:rsid w:val="000A50A1"/>
    <w:rsid w:val="000A5DF0"/>
    <w:rsid w:val="000A63EA"/>
    <w:rsid w:val="000A6498"/>
    <w:rsid w:val="000B003C"/>
    <w:rsid w:val="000B06DB"/>
    <w:rsid w:val="000B175B"/>
    <w:rsid w:val="000B189E"/>
    <w:rsid w:val="000B18DF"/>
    <w:rsid w:val="000B2340"/>
    <w:rsid w:val="000B2550"/>
    <w:rsid w:val="000B6E30"/>
    <w:rsid w:val="000C0BFD"/>
    <w:rsid w:val="000C0D0C"/>
    <w:rsid w:val="000C1047"/>
    <w:rsid w:val="000C3AD8"/>
    <w:rsid w:val="000C42C7"/>
    <w:rsid w:val="000C581F"/>
    <w:rsid w:val="000C5B38"/>
    <w:rsid w:val="000C5D3B"/>
    <w:rsid w:val="000C6841"/>
    <w:rsid w:val="000D0C67"/>
    <w:rsid w:val="000D29BC"/>
    <w:rsid w:val="000D4F17"/>
    <w:rsid w:val="000E085D"/>
    <w:rsid w:val="000E1B47"/>
    <w:rsid w:val="000E1F55"/>
    <w:rsid w:val="000E2E9D"/>
    <w:rsid w:val="000E4510"/>
    <w:rsid w:val="000E5F5F"/>
    <w:rsid w:val="000E678F"/>
    <w:rsid w:val="000E6C81"/>
    <w:rsid w:val="000F0A03"/>
    <w:rsid w:val="000F1D17"/>
    <w:rsid w:val="000F46BB"/>
    <w:rsid w:val="000F48F9"/>
    <w:rsid w:val="000F4C4B"/>
    <w:rsid w:val="000F563F"/>
    <w:rsid w:val="000F5C26"/>
    <w:rsid w:val="000F72E2"/>
    <w:rsid w:val="0010112C"/>
    <w:rsid w:val="0010159D"/>
    <w:rsid w:val="00101CD4"/>
    <w:rsid w:val="001030B7"/>
    <w:rsid w:val="00105C3B"/>
    <w:rsid w:val="00106679"/>
    <w:rsid w:val="00107070"/>
    <w:rsid w:val="00107D82"/>
    <w:rsid w:val="001130BA"/>
    <w:rsid w:val="00114A18"/>
    <w:rsid w:val="00114CC6"/>
    <w:rsid w:val="0011543D"/>
    <w:rsid w:val="001171A3"/>
    <w:rsid w:val="00117AE2"/>
    <w:rsid w:val="00117B6D"/>
    <w:rsid w:val="00120298"/>
    <w:rsid w:val="001216F7"/>
    <w:rsid w:val="00121A1B"/>
    <w:rsid w:val="00124B4A"/>
    <w:rsid w:val="00127016"/>
    <w:rsid w:val="0013130A"/>
    <w:rsid w:val="00132526"/>
    <w:rsid w:val="00133D74"/>
    <w:rsid w:val="00133EB3"/>
    <w:rsid w:val="00134EA6"/>
    <w:rsid w:val="00135122"/>
    <w:rsid w:val="00135435"/>
    <w:rsid w:val="0013563D"/>
    <w:rsid w:val="00136F4E"/>
    <w:rsid w:val="00137E02"/>
    <w:rsid w:val="001417A7"/>
    <w:rsid w:val="00141C76"/>
    <w:rsid w:val="00141E5B"/>
    <w:rsid w:val="00143FF2"/>
    <w:rsid w:val="00144002"/>
    <w:rsid w:val="00144853"/>
    <w:rsid w:val="0014618A"/>
    <w:rsid w:val="001468B6"/>
    <w:rsid w:val="0014709A"/>
    <w:rsid w:val="0015026E"/>
    <w:rsid w:val="001507DC"/>
    <w:rsid w:val="00150FAE"/>
    <w:rsid w:val="0015184E"/>
    <w:rsid w:val="0015307D"/>
    <w:rsid w:val="001544E9"/>
    <w:rsid w:val="0015450A"/>
    <w:rsid w:val="001564EB"/>
    <w:rsid w:val="001602D7"/>
    <w:rsid w:val="00161C43"/>
    <w:rsid w:val="001628A4"/>
    <w:rsid w:val="00162E83"/>
    <w:rsid w:val="00163247"/>
    <w:rsid w:val="00165337"/>
    <w:rsid w:val="00165913"/>
    <w:rsid w:val="001662F9"/>
    <w:rsid w:val="001704A5"/>
    <w:rsid w:val="00171B5C"/>
    <w:rsid w:val="00173093"/>
    <w:rsid w:val="001732EF"/>
    <w:rsid w:val="00175312"/>
    <w:rsid w:val="00176448"/>
    <w:rsid w:val="00176C54"/>
    <w:rsid w:val="00182106"/>
    <w:rsid w:val="00183C99"/>
    <w:rsid w:val="00183E16"/>
    <w:rsid w:val="00185361"/>
    <w:rsid w:val="00185FC9"/>
    <w:rsid w:val="00186197"/>
    <w:rsid w:val="00186906"/>
    <w:rsid w:val="00186E08"/>
    <w:rsid w:val="00190BBB"/>
    <w:rsid w:val="0019130E"/>
    <w:rsid w:val="00191609"/>
    <w:rsid w:val="00193191"/>
    <w:rsid w:val="0019383B"/>
    <w:rsid w:val="001938D0"/>
    <w:rsid w:val="00196ACD"/>
    <w:rsid w:val="00196B69"/>
    <w:rsid w:val="001A08E3"/>
    <w:rsid w:val="001A0B3F"/>
    <w:rsid w:val="001A0BE0"/>
    <w:rsid w:val="001A0F2D"/>
    <w:rsid w:val="001A17C4"/>
    <w:rsid w:val="001A2D59"/>
    <w:rsid w:val="001A31F4"/>
    <w:rsid w:val="001A7A1F"/>
    <w:rsid w:val="001B069F"/>
    <w:rsid w:val="001B11DF"/>
    <w:rsid w:val="001B252A"/>
    <w:rsid w:val="001B2F70"/>
    <w:rsid w:val="001B2F77"/>
    <w:rsid w:val="001B3704"/>
    <w:rsid w:val="001B4314"/>
    <w:rsid w:val="001B4BC9"/>
    <w:rsid w:val="001C17B2"/>
    <w:rsid w:val="001C1BE4"/>
    <w:rsid w:val="001C4BBB"/>
    <w:rsid w:val="001C71BF"/>
    <w:rsid w:val="001D051D"/>
    <w:rsid w:val="001D123A"/>
    <w:rsid w:val="001D3F84"/>
    <w:rsid w:val="001D409A"/>
    <w:rsid w:val="001D5A18"/>
    <w:rsid w:val="001D6F13"/>
    <w:rsid w:val="001D7896"/>
    <w:rsid w:val="001D7D98"/>
    <w:rsid w:val="001E1388"/>
    <w:rsid w:val="001E14C6"/>
    <w:rsid w:val="001E158E"/>
    <w:rsid w:val="001E2666"/>
    <w:rsid w:val="001E4995"/>
    <w:rsid w:val="001E4CD5"/>
    <w:rsid w:val="001F0941"/>
    <w:rsid w:val="001F5DE0"/>
    <w:rsid w:val="002023EE"/>
    <w:rsid w:val="00202FEF"/>
    <w:rsid w:val="00205133"/>
    <w:rsid w:val="00205E9E"/>
    <w:rsid w:val="00206A22"/>
    <w:rsid w:val="00207B37"/>
    <w:rsid w:val="00207CB7"/>
    <w:rsid w:val="00211C67"/>
    <w:rsid w:val="0021210E"/>
    <w:rsid w:val="00212B0E"/>
    <w:rsid w:val="00212B8D"/>
    <w:rsid w:val="00213775"/>
    <w:rsid w:val="00214335"/>
    <w:rsid w:val="00221558"/>
    <w:rsid w:val="002233F6"/>
    <w:rsid w:val="00223A22"/>
    <w:rsid w:val="00224827"/>
    <w:rsid w:val="00224A74"/>
    <w:rsid w:val="00225246"/>
    <w:rsid w:val="00231BD6"/>
    <w:rsid w:val="00231C6F"/>
    <w:rsid w:val="0023229A"/>
    <w:rsid w:val="002351FE"/>
    <w:rsid w:val="002363D5"/>
    <w:rsid w:val="00237D7E"/>
    <w:rsid w:val="00237EA4"/>
    <w:rsid w:val="002415BC"/>
    <w:rsid w:val="00241D52"/>
    <w:rsid w:val="002427EF"/>
    <w:rsid w:val="0024432B"/>
    <w:rsid w:val="002444FC"/>
    <w:rsid w:val="002444FE"/>
    <w:rsid w:val="00245C3B"/>
    <w:rsid w:val="002471D8"/>
    <w:rsid w:val="00247C2D"/>
    <w:rsid w:val="00251846"/>
    <w:rsid w:val="00251A0A"/>
    <w:rsid w:val="00251EB1"/>
    <w:rsid w:val="002525C1"/>
    <w:rsid w:val="00252AC6"/>
    <w:rsid w:val="00252BAB"/>
    <w:rsid w:val="00253649"/>
    <w:rsid w:val="00255739"/>
    <w:rsid w:val="00257C42"/>
    <w:rsid w:val="0026021B"/>
    <w:rsid w:val="00260BFA"/>
    <w:rsid w:val="002628E4"/>
    <w:rsid w:val="0026294E"/>
    <w:rsid w:val="00263966"/>
    <w:rsid w:val="00264B9B"/>
    <w:rsid w:val="0026613D"/>
    <w:rsid w:val="002745EF"/>
    <w:rsid w:val="00274883"/>
    <w:rsid w:val="00275330"/>
    <w:rsid w:val="002754DE"/>
    <w:rsid w:val="00281A58"/>
    <w:rsid w:val="0028309D"/>
    <w:rsid w:val="00284453"/>
    <w:rsid w:val="00284CEF"/>
    <w:rsid w:val="00285051"/>
    <w:rsid w:val="002854B6"/>
    <w:rsid w:val="00286BD9"/>
    <w:rsid w:val="00287431"/>
    <w:rsid w:val="00290354"/>
    <w:rsid w:val="00290849"/>
    <w:rsid w:val="002909B1"/>
    <w:rsid w:val="002909FD"/>
    <w:rsid w:val="00291D5E"/>
    <w:rsid w:val="00292BCD"/>
    <w:rsid w:val="00293828"/>
    <w:rsid w:val="002947C0"/>
    <w:rsid w:val="002949E5"/>
    <w:rsid w:val="00294DB7"/>
    <w:rsid w:val="00295A96"/>
    <w:rsid w:val="002A1DA5"/>
    <w:rsid w:val="002A3301"/>
    <w:rsid w:val="002A3774"/>
    <w:rsid w:val="002A3E8B"/>
    <w:rsid w:val="002A4E36"/>
    <w:rsid w:val="002A5B95"/>
    <w:rsid w:val="002A7837"/>
    <w:rsid w:val="002A7C91"/>
    <w:rsid w:val="002A7DFB"/>
    <w:rsid w:val="002B0006"/>
    <w:rsid w:val="002B0E0B"/>
    <w:rsid w:val="002B3E41"/>
    <w:rsid w:val="002B4A3B"/>
    <w:rsid w:val="002B6FE8"/>
    <w:rsid w:val="002B7A9F"/>
    <w:rsid w:val="002C0933"/>
    <w:rsid w:val="002C36B1"/>
    <w:rsid w:val="002C47A3"/>
    <w:rsid w:val="002C57B6"/>
    <w:rsid w:val="002C63EC"/>
    <w:rsid w:val="002C6907"/>
    <w:rsid w:val="002C7FF7"/>
    <w:rsid w:val="002D1009"/>
    <w:rsid w:val="002D1E4F"/>
    <w:rsid w:val="002D2787"/>
    <w:rsid w:val="002D342A"/>
    <w:rsid w:val="002D3836"/>
    <w:rsid w:val="002D5386"/>
    <w:rsid w:val="002D6334"/>
    <w:rsid w:val="002D78E2"/>
    <w:rsid w:val="002E1C89"/>
    <w:rsid w:val="002E284F"/>
    <w:rsid w:val="002E2F41"/>
    <w:rsid w:val="002E376F"/>
    <w:rsid w:val="002E627C"/>
    <w:rsid w:val="002E673A"/>
    <w:rsid w:val="002F0EF5"/>
    <w:rsid w:val="002F2000"/>
    <w:rsid w:val="002F202A"/>
    <w:rsid w:val="002F52CD"/>
    <w:rsid w:val="002F54B2"/>
    <w:rsid w:val="002F5D17"/>
    <w:rsid w:val="002F6394"/>
    <w:rsid w:val="00300359"/>
    <w:rsid w:val="00301D9D"/>
    <w:rsid w:val="00301FAA"/>
    <w:rsid w:val="003058D7"/>
    <w:rsid w:val="00305B25"/>
    <w:rsid w:val="00306CBA"/>
    <w:rsid w:val="00307114"/>
    <w:rsid w:val="00307219"/>
    <w:rsid w:val="0031109D"/>
    <w:rsid w:val="0031130B"/>
    <w:rsid w:val="003113D3"/>
    <w:rsid w:val="00312BC1"/>
    <w:rsid w:val="00316B22"/>
    <w:rsid w:val="00324CF9"/>
    <w:rsid w:val="00325991"/>
    <w:rsid w:val="003264AF"/>
    <w:rsid w:val="00326B35"/>
    <w:rsid w:val="003271F2"/>
    <w:rsid w:val="0032723B"/>
    <w:rsid w:val="00331DC8"/>
    <w:rsid w:val="00333111"/>
    <w:rsid w:val="003338E1"/>
    <w:rsid w:val="00334E94"/>
    <w:rsid w:val="0033503B"/>
    <w:rsid w:val="00335113"/>
    <w:rsid w:val="00336F7E"/>
    <w:rsid w:val="003404B1"/>
    <w:rsid w:val="00340639"/>
    <w:rsid w:val="003407E0"/>
    <w:rsid w:val="003407F0"/>
    <w:rsid w:val="00340C69"/>
    <w:rsid w:val="00342DCB"/>
    <w:rsid w:val="003435E1"/>
    <w:rsid w:val="00343B11"/>
    <w:rsid w:val="00344E3D"/>
    <w:rsid w:val="003456C4"/>
    <w:rsid w:val="003476A2"/>
    <w:rsid w:val="003476BA"/>
    <w:rsid w:val="0035007B"/>
    <w:rsid w:val="003531C9"/>
    <w:rsid w:val="00353A9D"/>
    <w:rsid w:val="00355DEA"/>
    <w:rsid w:val="00356562"/>
    <w:rsid w:val="00357F82"/>
    <w:rsid w:val="003602C7"/>
    <w:rsid w:val="0036112B"/>
    <w:rsid w:val="00361DFF"/>
    <w:rsid w:val="00363115"/>
    <w:rsid w:val="00363EA9"/>
    <w:rsid w:val="00364EA2"/>
    <w:rsid w:val="0036614B"/>
    <w:rsid w:val="00366B50"/>
    <w:rsid w:val="003671B8"/>
    <w:rsid w:val="00371091"/>
    <w:rsid w:val="00374E87"/>
    <w:rsid w:val="00377020"/>
    <w:rsid w:val="003846D3"/>
    <w:rsid w:val="00384DE5"/>
    <w:rsid w:val="003870DC"/>
    <w:rsid w:val="003873B5"/>
    <w:rsid w:val="0038745D"/>
    <w:rsid w:val="00390454"/>
    <w:rsid w:val="0039070E"/>
    <w:rsid w:val="003913A1"/>
    <w:rsid w:val="00391EC5"/>
    <w:rsid w:val="00393B42"/>
    <w:rsid w:val="00397F3E"/>
    <w:rsid w:val="003A067C"/>
    <w:rsid w:val="003A304F"/>
    <w:rsid w:val="003A479F"/>
    <w:rsid w:val="003A6172"/>
    <w:rsid w:val="003A6AFD"/>
    <w:rsid w:val="003A6F40"/>
    <w:rsid w:val="003B1BFC"/>
    <w:rsid w:val="003B23DE"/>
    <w:rsid w:val="003B51BF"/>
    <w:rsid w:val="003B52E9"/>
    <w:rsid w:val="003B6369"/>
    <w:rsid w:val="003B6460"/>
    <w:rsid w:val="003B7239"/>
    <w:rsid w:val="003B7AB7"/>
    <w:rsid w:val="003B7EB4"/>
    <w:rsid w:val="003C160E"/>
    <w:rsid w:val="003C4CFA"/>
    <w:rsid w:val="003D2E84"/>
    <w:rsid w:val="003D3673"/>
    <w:rsid w:val="003D3DA0"/>
    <w:rsid w:val="003D42BD"/>
    <w:rsid w:val="003D7921"/>
    <w:rsid w:val="003E3465"/>
    <w:rsid w:val="003E400D"/>
    <w:rsid w:val="003E453A"/>
    <w:rsid w:val="003E5795"/>
    <w:rsid w:val="003E57A1"/>
    <w:rsid w:val="003E5FF3"/>
    <w:rsid w:val="003E6D67"/>
    <w:rsid w:val="003F2036"/>
    <w:rsid w:val="003F2DF9"/>
    <w:rsid w:val="003F4157"/>
    <w:rsid w:val="003F4A8D"/>
    <w:rsid w:val="003F4BCB"/>
    <w:rsid w:val="003F51CC"/>
    <w:rsid w:val="003F6DA3"/>
    <w:rsid w:val="003F7893"/>
    <w:rsid w:val="003F7ABD"/>
    <w:rsid w:val="004035FD"/>
    <w:rsid w:val="00405FA5"/>
    <w:rsid w:val="00407131"/>
    <w:rsid w:val="004103E9"/>
    <w:rsid w:val="004111D4"/>
    <w:rsid w:val="00411F7B"/>
    <w:rsid w:val="00414903"/>
    <w:rsid w:val="0042494F"/>
    <w:rsid w:val="00426303"/>
    <w:rsid w:val="0042673C"/>
    <w:rsid w:val="00426FFB"/>
    <w:rsid w:val="00430390"/>
    <w:rsid w:val="00430405"/>
    <w:rsid w:val="00430472"/>
    <w:rsid w:val="0043083C"/>
    <w:rsid w:val="00431479"/>
    <w:rsid w:val="00432EF3"/>
    <w:rsid w:val="004332A0"/>
    <w:rsid w:val="00433629"/>
    <w:rsid w:val="00433BB8"/>
    <w:rsid w:val="00434E0B"/>
    <w:rsid w:val="004358AA"/>
    <w:rsid w:val="0043611B"/>
    <w:rsid w:val="0043694A"/>
    <w:rsid w:val="00436F52"/>
    <w:rsid w:val="00437719"/>
    <w:rsid w:val="0044093E"/>
    <w:rsid w:val="00442D1A"/>
    <w:rsid w:val="004433CD"/>
    <w:rsid w:val="00443EF6"/>
    <w:rsid w:val="004443EC"/>
    <w:rsid w:val="004445D0"/>
    <w:rsid w:val="0044490C"/>
    <w:rsid w:val="00447FF4"/>
    <w:rsid w:val="00452615"/>
    <w:rsid w:val="0045341F"/>
    <w:rsid w:val="00453C99"/>
    <w:rsid w:val="00453DE4"/>
    <w:rsid w:val="00454045"/>
    <w:rsid w:val="004541C8"/>
    <w:rsid w:val="00455BB1"/>
    <w:rsid w:val="00456A5A"/>
    <w:rsid w:val="00456D85"/>
    <w:rsid w:val="00456EDD"/>
    <w:rsid w:val="004602B0"/>
    <w:rsid w:val="00460801"/>
    <w:rsid w:val="004622D7"/>
    <w:rsid w:val="004649BD"/>
    <w:rsid w:val="004665DB"/>
    <w:rsid w:val="00467113"/>
    <w:rsid w:val="00467797"/>
    <w:rsid w:val="00472D82"/>
    <w:rsid w:val="0047357E"/>
    <w:rsid w:val="00473593"/>
    <w:rsid w:val="00475051"/>
    <w:rsid w:val="00475066"/>
    <w:rsid w:val="004752AB"/>
    <w:rsid w:val="00477A24"/>
    <w:rsid w:val="0048037A"/>
    <w:rsid w:val="00484511"/>
    <w:rsid w:val="00484820"/>
    <w:rsid w:val="00484B2D"/>
    <w:rsid w:val="00487CED"/>
    <w:rsid w:val="00491B17"/>
    <w:rsid w:val="00491FEB"/>
    <w:rsid w:val="004934C3"/>
    <w:rsid w:val="004955E5"/>
    <w:rsid w:val="00496046"/>
    <w:rsid w:val="0049605F"/>
    <w:rsid w:val="0049608B"/>
    <w:rsid w:val="00496114"/>
    <w:rsid w:val="004970A9"/>
    <w:rsid w:val="00497708"/>
    <w:rsid w:val="0049799E"/>
    <w:rsid w:val="00497A50"/>
    <w:rsid w:val="004A09AA"/>
    <w:rsid w:val="004A0D6F"/>
    <w:rsid w:val="004A181B"/>
    <w:rsid w:val="004A1DED"/>
    <w:rsid w:val="004A5EF1"/>
    <w:rsid w:val="004A693F"/>
    <w:rsid w:val="004A7495"/>
    <w:rsid w:val="004A7B5C"/>
    <w:rsid w:val="004B03FF"/>
    <w:rsid w:val="004B09A9"/>
    <w:rsid w:val="004B2ADD"/>
    <w:rsid w:val="004B4237"/>
    <w:rsid w:val="004B502D"/>
    <w:rsid w:val="004B5CDE"/>
    <w:rsid w:val="004B5F5B"/>
    <w:rsid w:val="004B6788"/>
    <w:rsid w:val="004B7CD6"/>
    <w:rsid w:val="004C1156"/>
    <w:rsid w:val="004C2E47"/>
    <w:rsid w:val="004C3195"/>
    <w:rsid w:val="004C3B86"/>
    <w:rsid w:val="004C405D"/>
    <w:rsid w:val="004C4070"/>
    <w:rsid w:val="004C6B91"/>
    <w:rsid w:val="004C721C"/>
    <w:rsid w:val="004C7F05"/>
    <w:rsid w:val="004D1654"/>
    <w:rsid w:val="004D18BF"/>
    <w:rsid w:val="004D2671"/>
    <w:rsid w:val="004D4219"/>
    <w:rsid w:val="004D7E9A"/>
    <w:rsid w:val="004E0EC3"/>
    <w:rsid w:val="004E1503"/>
    <w:rsid w:val="004E2770"/>
    <w:rsid w:val="004E2E0E"/>
    <w:rsid w:val="004E32CF"/>
    <w:rsid w:val="004E5597"/>
    <w:rsid w:val="004F0528"/>
    <w:rsid w:val="004F0910"/>
    <w:rsid w:val="004F0F32"/>
    <w:rsid w:val="004F22B7"/>
    <w:rsid w:val="004F336F"/>
    <w:rsid w:val="004F6AF9"/>
    <w:rsid w:val="004F7BED"/>
    <w:rsid w:val="00500F74"/>
    <w:rsid w:val="005037FD"/>
    <w:rsid w:val="00505176"/>
    <w:rsid w:val="005051EE"/>
    <w:rsid w:val="0050568B"/>
    <w:rsid w:val="0050658F"/>
    <w:rsid w:val="0051184D"/>
    <w:rsid w:val="00514AA0"/>
    <w:rsid w:val="00514FB7"/>
    <w:rsid w:val="00520F68"/>
    <w:rsid w:val="005219FE"/>
    <w:rsid w:val="0052268E"/>
    <w:rsid w:val="00523C61"/>
    <w:rsid w:val="00524343"/>
    <w:rsid w:val="00524A4B"/>
    <w:rsid w:val="00524F84"/>
    <w:rsid w:val="00527543"/>
    <w:rsid w:val="00530BB1"/>
    <w:rsid w:val="00531CC1"/>
    <w:rsid w:val="00532636"/>
    <w:rsid w:val="005332CF"/>
    <w:rsid w:val="00534329"/>
    <w:rsid w:val="00534660"/>
    <w:rsid w:val="0053602B"/>
    <w:rsid w:val="005376F7"/>
    <w:rsid w:val="00540873"/>
    <w:rsid w:val="00541FEA"/>
    <w:rsid w:val="00542BCF"/>
    <w:rsid w:val="00543394"/>
    <w:rsid w:val="005437A0"/>
    <w:rsid w:val="0054471E"/>
    <w:rsid w:val="0054478E"/>
    <w:rsid w:val="00547A55"/>
    <w:rsid w:val="00547AB0"/>
    <w:rsid w:val="00547FFB"/>
    <w:rsid w:val="0055092C"/>
    <w:rsid w:val="00551E53"/>
    <w:rsid w:val="005540F3"/>
    <w:rsid w:val="00555905"/>
    <w:rsid w:val="00561371"/>
    <w:rsid w:val="005615B4"/>
    <w:rsid w:val="00561AC9"/>
    <w:rsid w:val="0056289E"/>
    <w:rsid w:val="0056351B"/>
    <w:rsid w:val="00565A39"/>
    <w:rsid w:val="005662FC"/>
    <w:rsid w:val="00573A29"/>
    <w:rsid w:val="00573AA9"/>
    <w:rsid w:val="005746C7"/>
    <w:rsid w:val="00577992"/>
    <w:rsid w:val="00577E7A"/>
    <w:rsid w:val="00581536"/>
    <w:rsid w:val="005816D1"/>
    <w:rsid w:val="00584102"/>
    <w:rsid w:val="005843AC"/>
    <w:rsid w:val="00591065"/>
    <w:rsid w:val="00592A33"/>
    <w:rsid w:val="00592C5F"/>
    <w:rsid w:val="00595D0C"/>
    <w:rsid w:val="00596876"/>
    <w:rsid w:val="005979FC"/>
    <w:rsid w:val="00597F29"/>
    <w:rsid w:val="005A0844"/>
    <w:rsid w:val="005A1221"/>
    <w:rsid w:val="005A3B4A"/>
    <w:rsid w:val="005A4D32"/>
    <w:rsid w:val="005A5D23"/>
    <w:rsid w:val="005A6415"/>
    <w:rsid w:val="005B23CE"/>
    <w:rsid w:val="005B3B0C"/>
    <w:rsid w:val="005B459C"/>
    <w:rsid w:val="005C08EE"/>
    <w:rsid w:val="005C245A"/>
    <w:rsid w:val="005C320D"/>
    <w:rsid w:val="005C4824"/>
    <w:rsid w:val="005C545D"/>
    <w:rsid w:val="005C721C"/>
    <w:rsid w:val="005D1D83"/>
    <w:rsid w:val="005D2119"/>
    <w:rsid w:val="005D3870"/>
    <w:rsid w:val="005D3D02"/>
    <w:rsid w:val="005D3FDF"/>
    <w:rsid w:val="005D48C7"/>
    <w:rsid w:val="005D5D40"/>
    <w:rsid w:val="005D6BB7"/>
    <w:rsid w:val="005D6EF5"/>
    <w:rsid w:val="005D74D2"/>
    <w:rsid w:val="005D7992"/>
    <w:rsid w:val="005D7FD1"/>
    <w:rsid w:val="005E0264"/>
    <w:rsid w:val="005E091C"/>
    <w:rsid w:val="005E110C"/>
    <w:rsid w:val="005E1A1E"/>
    <w:rsid w:val="005E2891"/>
    <w:rsid w:val="005E5298"/>
    <w:rsid w:val="005E5459"/>
    <w:rsid w:val="005E55CE"/>
    <w:rsid w:val="005E5975"/>
    <w:rsid w:val="005E5EC5"/>
    <w:rsid w:val="005E6B5D"/>
    <w:rsid w:val="005E6B68"/>
    <w:rsid w:val="005F092C"/>
    <w:rsid w:val="005F2146"/>
    <w:rsid w:val="005F5953"/>
    <w:rsid w:val="005F7DBD"/>
    <w:rsid w:val="005F7E1A"/>
    <w:rsid w:val="00600150"/>
    <w:rsid w:val="00601FE2"/>
    <w:rsid w:val="00602281"/>
    <w:rsid w:val="0060234F"/>
    <w:rsid w:val="00602BE0"/>
    <w:rsid w:val="0060439E"/>
    <w:rsid w:val="00604EF4"/>
    <w:rsid w:val="006051D6"/>
    <w:rsid w:val="00605AE5"/>
    <w:rsid w:val="0060611B"/>
    <w:rsid w:val="00610EB9"/>
    <w:rsid w:val="00611618"/>
    <w:rsid w:val="00612460"/>
    <w:rsid w:val="00612550"/>
    <w:rsid w:val="00613C54"/>
    <w:rsid w:val="006163DB"/>
    <w:rsid w:val="006210DD"/>
    <w:rsid w:val="00621A00"/>
    <w:rsid w:val="0062303F"/>
    <w:rsid w:val="0062310D"/>
    <w:rsid w:val="006233BA"/>
    <w:rsid w:val="006260FE"/>
    <w:rsid w:val="00630F37"/>
    <w:rsid w:val="00631E3F"/>
    <w:rsid w:val="00632422"/>
    <w:rsid w:val="00632BB3"/>
    <w:rsid w:val="00633CC2"/>
    <w:rsid w:val="00635B49"/>
    <w:rsid w:val="00636D00"/>
    <w:rsid w:val="006371A6"/>
    <w:rsid w:val="0063766B"/>
    <w:rsid w:val="00641009"/>
    <w:rsid w:val="00641231"/>
    <w:rsid w:val="00642102"/>
    <w:rsid w:val="0064222C"/>
    <w:rsid w:val="00642806"/>
    <w:rsid w:val="00643A0B"/>
    <w:rsid w:val="0064435A"/>
    <w:rsid w:val="00646766"/>
    <w:rsid w:val="00646B64"/>
    <w:rsid w:val="0064729F"/>
    <w:rsid w:val="00650738"/>
    <w:rsid w:val="0065112C"/>
    <w:rsid w:val="00652370"/>
    <w:rsid w:val="006531AE"/>
    <w:rsid w:val="00653B6E"/>
    <w:rsid w:val="006540E2"/>
    <w:rsid w:val="00654DF5"/>
    <w:rsid w:val="0065532E"/>
    <w:rsid w:val="00656D5F"/>
    <w:rsid w:val="00657F1F"/>
    <w:rsid w:val="00661283"/>
    <w:rsid w:val="00661FC9"/>
    <w:rsid w:val="00666587"/>
    <w:rsid w:val="00667935"/>
    <w:rsid w:val="00670C76"/>
    <w:rsid w:val="00671457"/>
    <w:rsid w:val="0067194F"/>
    <w:rsid w:val="006733EC"/>
    <w:rsid w:val="00674A2C"/>
    <w:rsid w:val="0067570B"/>
    <w:rsid w:val="006758A0"/>
    <w:rsid w:val="00675A5C"/>
    <w:rsid w:val="00675C1A"/>
    <w:rsid w:val="00677D6B"/>
    <w:rsid w:val="0068106A"/>
    <w:rsid w:val="00682F7D"/>
    <w:rsid w:val="00683D92"/>
    <w:rsid w:val="00683F3F"/>
    <w:rsid w:val="006840C9"/>
    <w:rsid w:val="00684D39"/>
    <w:rsid w:val="006855A8"/>
    <w:rsid w:val="006862D7"/>
    <w:rsid w:val="0068630F"/>
    <w:rsid w:val="00686885"/>
    <w:rsid w:val="0068719E"/>
    <w:rsid w:val="00687AE1"/>
    <w:rsid w:val="00691D47"/>
    <w:rsid w:val="00692888"/>
    <w:rsid w:val="00696094"/>
    <w:rsid w:val="00696ED2"/>
    <w:rsid w:val="006A0F55"/>
    <w:rsid w:val="006A1170"/>
    <w:rsid w:val="006A17C2"/>
    <w:rsid w:val="006A21F7"/>
    <w:rsid w:val="006A3732"/>
    <w:rsid w:val="006A3D10"/>
    <w:rsid w:val="006A4379"/>
    <w:rsid w:val="006A5C82"/>
    <w:rsid w:val="006A6607"/>
    <w:rsid w:val="006A7D0E"/>
    <w:rsid w:val="006B2A69"/>
    <w:rsid w:val="006B2E25"/>
    <w:rsid w:val="006B2FCF"/>
    <w:rsid w:val="006B38D6"/>
    <w:rsid w:val="006B3D06"/>
    <w:rsid w:val="006B3F61"/>
    <w:rsid w:val="006B3FA9"/>
    <w:rsid w:val="006B41E6"/>
    <w:rsid w:val="006B6595"/>
    <w:rsid w:val="006B71BE"/>
    <w:rsid w:val="006B7A71"/>
    <w:rsid w:val="006C00F9"/>
    <w:rsid w:val="006C0135"/>
    <w:rsid w:val="006C32F0"/>
    <w:rsid w:val="006C38CD"/>
    <w:rsid w:val="006C391F"/>
    <w:rsid w:val="006C3A8D"/>
    <w:rsid w:val="006C44F1"/>
    <w:rsid w:val="006C5952"/>
    <w:rsid w:val="006C6A0D"/>
    <w:rsid w:val="006C700F"/>
    <w:rsid w:val="006D0075"/>
    <w:rsid w:val="006D12A0"/>
    <w:rsid w:val="006D1E92"/>
    <w:rsid w:val="006D27AF"/>
    <w:rsid w:val="006D72D5"/>
    <w:rsid w:val="006D74EE"/>
    <w:rsid w:val="006D7E14"/>
    <w:rsid w:val="006D7E88"/>
    <w:rsid w:val="006E013A"/>
    <w:rsid w:val="006E0A90"/>
    <w:rsid w:val="006E5515"/>
    <w:rsid w:val="006E5A02"/>
    <w:rsid w:val="006F0DF8"/>
    <w:rsid w:val="006F1891"/>
    <w:rsid w:val="006F55F5"/>
    <w:rsid w:val="006F5DAE"/>
    <w:rsid w:val="006F5E33"/>
    <w:rsid w:val="006F693E"/>
    <w:rsid w:val="006F7C34"/>
    <w:rsid w:val="006F7CDF"/>
    <w:rsid w:val="007008BD"/>
    <w:rsid w:val="00702682"/>
    <w:rsid w:val="007035D3"/>
    <w:rsid w:val="00704B65"/>
    <w:rsid w:val="0070730F"/>
    <w:rsid w:val="00707E50"/>
    <w:rsid w:val="00710B68"/>
    <w:rsid w:val="00710BA2"/>
    <w:rsid w:val="007114B0"/>
    <w:rsid w:val="00713988"/>
    <w:rsid w:val="00715DE5"/>
    <w:rsid w:val="00715FC4"/>
    <w:rsid w:val="00717427"/>
    <w:rsid w:val="00720168"/>
    <w:rsid w:val="00720907"/>
    <w:rsid w:val="00721C25"/>
    <w:rsid w:val="00722550"/>
    <w:rsid w:val="00722579"/>
    <w:rsid w:val="007231D4"/>
    <w:rsid w:val="007244C3"/>
    <w:rsid w:val="0072654C"/>
    <w:rsid w:val="00726625"/>
    <w:rsid w:val="00727414"/>
    <w:rsid w:val="00727451"/>
    <w:rsid w:val="0072748E"/>
    <w:rsid w:val="00730E22"/>
    <w:rsid w:val="00732923"/>
    <w:rsid w:val="00732E2C"/>
    <w:rsid w:val="00732F92"/>
    <w:rsid w:val="007332C9"/>
    <w:rsid w:val="007337D5"/>
    <w:rsid w:val="00742FAE"/>
    <w:rsid w:val="007435E0"/>
    <w:rsid w:val="007467CB"/>
    <w:rsid w:val="00747457"/>
    <w:rsid w:val="00750761"/>
    <w:rsid w:val="00754138"/>
    <w:rsid w:val="00754878"/>
    <w:rsid w:val="00754F4A"/>
    <w:rsid w:val="0075535B"/>
    <w:rsid w:val="00755A94"/>
    <w:rsid w:val="00755B02"/>
    <w:rsid w:val="007571F1"/>
    <w:rsid w:val="00761DFC"/>
    <w:rsid w:val="00762E3E"/>
    <w:rsid w:val="00765AD3"/>
    <w:rsid w:val="0076632B"/>
    <w:rsid w:val="00767AF7"/>
    <w:rsid w:val="00767F74"/>
    <w:rsid w:val="00771C85"/>
    <w:rsid w:val="00771DC9"/>
    <w:rsid w:val="0077283E"/>
    <w:rsid w:val="00773D0B"/>
    <w:rsid w:val="00773ECF"/>
    <w:rsid w:val="00773FF1"/>
    <w:rsid w:val="0077419A"/>
    <w:rsid w:val="00774F03"/>
    <w:rsid w:val="007761D7"/>
    <w:rsid w:val="00776DCA"/>
    <w:rsid w:val="00776E23"/>
    <w:rsid w:val="00780136"/>
    <w:rsid w:val="00784ABF"/>
    <w:rsid w:val="007874B6"/>
    <w:rsid w:val="0078751F"/>
    <w:rsid w:val="007879D3"/>
    <w:rsid w:val="00787D45"/>
    <w:rsid w:val="00787E76"/>
    <w:rsid w:val="00792646"/>
    <w:rsid w:val="007966C1"/>
    <w:rsid w:val="00797705"/>
    <w:rsid w:val="00797D79"/>
    <w:rsid w:val="007A06FC"/>
    <w:rsid w:val="007A0E33"/>
    <w:rsid w:val="007A0F1C"/>
    <w:rsid w:val="007A10C8"/>
    <w:rsid w:val="007A2AFB"/>
    <w:rsid w:val="007A3163"/>
    <w:rsid w:val="007A345E"/>
    <w:rsid w:val="007A46E2"/>
    <w:rsid w:val="007A71BE"/>
    <w:rsid w:val="007B0E52"/>
    <w:rsid w:val="007B2A60"/>
    <w:rsid w:val="007B40FD"/>
    <w:rsid w:val="007B5386"/>
    <w:rsid w:val="007B7685"/>
    <w:rsid w:val="007B7FA0"/>
    <w:rsid w:val="007C0682"/>
    <w:rsid w:val="007C088E"/>
    <w:rsid w:val="007C0CEB"/>
    <w:rsid w:val="007C2275"/>
    <w:rsid w:val="007C2305"/>
    <w:rsid w:val="007C43A9"/>
    <w:rsid w:val="007C4F10"/>
    <w:rsid w:val="007C7B50"/>
    <w:rsid w:val="007D02CB"/>
    <w:rsid w:val="007D112D"/>
    <w:rsid w:val="007D15B5"/>
    <w:rsid w:val="007D48AD"/>
    <w:rsid w:val="007D6C50"/>
    <w:rsid w:val="007D6EB8"/>
    <w:rsid w:val="007E08D8"/>
    <w:rsid w:val="007E238D"/>
    <w:rsid w:val="007E27BC"/>
    <w:rsid w:val="007E291E"/>
    <w:rsid w:val="007E7877"/>
    <w:rsid w:val="007F3906"/>
    <w:rsid w:val="007F51E7"/>
    <w:rsid w:val="007F67AE"/>
    <w:rsid w:val="007F696D"/>
    <w:rsid w:val="007F6E2F"/>
    <w:rsid w:val="007F79B1"/>
    <w:rsid w:val="007F7CAE"/>
    <w:rsid w:val="008006EA"/>
    <w:rsid w:val="00804E92"/>
    <w:rsid w:val="00810A3A"/>
    <w:rsid w:val="00811BBA"/>
    <w:rsid w:val="008131C8"/>
    <w:rsid w:val="008153F1"/>
    <w:rsid w:val="0081572B"/>
    <w:rsid w:val="00815C01"/>
    <w:rsid w:val="00816689"/>
    <w:rsid w:val="00817EFF"/>
    <w:rsid w:val="00820A45"/>
    <w:rsid w:val="00820B10"/>
    <w:rsid w:val="00821015"/>
    <w:rsid w:val="00822D06"/>
    <w:rsid w:val="00823C83"/>
    <w:rsid w:val="00824A1A"/>
    <w:rsid w:val="00825CEC"/>
    <w:rsid w:val="00826650"/>
    <w:rsid w:val="008274AA"/>
    <w:rsid w:val="0083265C"/>
    <w:rsid w:val="00833F56"/>
    <w:rsid w:val="00835CC8"/>
    <w:rsid w:val="00840949"/>
    <w:rsid w:val="00841DDF"/>
    <w:rsid w:val="008420CB"/>
    <w:rsid w:val="00842382"/>
    <w:rsid w:val="00842768"/>
    <w:rsid w:val="00842A36"/>
    <w:rsid w:val="008436B5"/>
    <w:rsid w:val="008438B4"/>
    <w:rsid w:val="008453D3"/>
    <w:rsid w:val="00845662"/>
    <w:rsid w:val="008459D4"/>
    <w:rsid w:val="00845BC7"/>
    <w:rsid w:val="00845C89"/>
    <w:rsid w:val="00847D96"/>
    <w:rsid w:val="008502EF"/>
    <w:rsid w:val="008539AC"/>
    <w:rsid w:val="008547AD"/>
    <w:rsid w:val="00855EB5"/>
    <w:rsid w:val="008607DD"/>
    <w:rsid w:val="00861025"/>
    <w:rsid w:val="00865220"/>
    <w:rsid w:val="00865E53"/>
    <w:rsid w:val="0086754E"/>
    <w:rsid w:val="008713CB"/>
    <w:rsid w:val="00872A1C"/>
    <w:rsid w:val="00872EE3"/>
    <w:rsid w:val="00872F8D"/>
    <w:rsid w:val="008735B5"/>
    <w:rsid w:val="00873A31"/>
    <w:rsid w:val="00875091"/>
    <w:rsid w:val="008768CC"/>
    <w:rsid w:val="00877862"/>
    <w:rsid w:val="00880B2A"/>
    <w:rsid w:val="00884862"/>
    <w:rsid w:val="008854D5"/>
    <w:rsid w:val="0088573F"/>
    <w:rsid w:val="00887866"/>
    <w:rsid w:val="00890845"/>
    <w:rsid w:val="00890AC1"/>
    <w:rsid w:val="0089101D"/>
    <w:rsid w:val="00892A29"/>
    <w:rsid w:val="0089378F"/>
    <w:rsid w:val="008943FA"/>
    <w:rsid w:val="00894A8D"/>
    <w:rsid w:val="00896E0A"/>
    <w:rsid w:val="008A23B8"/>
    <w:rsid w:val="008A269E"/>
    <w:rsid w:val="008A27CD"/>
    <w:rsid w:val="008A48DA"/>
    <w:rsid w:val="008A5D82"/>
    <w:rsid w:val="008B0840"/>
    <w:rsid w:val="008B1F99"/>
    <w:rsid w:val="008B5185"/>
    <w:rsid w:val="008B7F03"/>
    <w:rsid w:val="008C16A9"/>
    <w:rsid w:val="008C2444"/>
    <w:rsid w:val="008C2CE0"/>
    <w:rsid w:val="008C3D8F"/>
    <w:rsid w:val="008C6FD3"/>
    <w:rsid w:val="008C7677"/>
    <w:rsid w:val="008C7D96"/>
    <w:rsid w:val="008D1EE0"/>
    <w:rsid w:val="008D22DF"/>
    <w:rsid w:val="008D276A"/>
    <w:rsid w:val="008D3A06"/>
    <w:rsid w:val="008D4E32"/>
    <w:rsid w:val="008D5B41"/>
    <w:rsid w:val="008D5BC7"/>
    <w:rsid w:val="008D62EC"/>
    <w:rsid w:val="008D6DCF"/>
    <w:rsid w:val="008E0751"/>
    <w:rsid w:val="008E0CA0"/>
    <w:rsid w:val="008E1D18"/>
    <w:rsid w:val="008E2B16"/>
    <w:rsid w:val="008E2D49"/>
    <w:rsid w:val="008E2D64"/>
    <w:rsid w:val="008E4190"/>
    <w:rsid w:val="008E4DB8"/>
    <w:rsid w:val="008E4FF9"/>
    <w:rsid w:val="008E6610"/>
    <w:rsid w:val="008F06C2"/>
    <w:rsid w:val="008F0DB2"/>
    <w:rsid w:val="008F133D"/>
    <w:rsid w:val="008F4EFB"/>
    <w:rsid w:val="008F6B28"/>
    <w:rsid w:val="008F7717"/>
    <w:rsid w:val="00902751"/>
    <w:rsid w:val="00902B52"/>
    <w:rsid w:val="00906180"/>
    <w:rsid w:val="009067F6"/>
    <w:rsid w:val="00907446"/>
    <w:rsid w:val="009114D2"/>
    <w:rsid w:val="00911C8F"/>
    <w:rsid w:val="00912F5A"/>
    <w:rsid w:val="00913D89"/>
    <w:rsid w:val="009159DA"/>
    <w:rsid w:val="00916500"/>
    <w:rsid w:val="00916DBD"/>
    <w:rsid w:val="00920B22"/>
    <w:rsid w:val="00920C74"/>
    <w:rsid w:val="0092155F"/>
    <w:rsid w:val="00923BF8"/>
    <w:rsid w:val="00923D30"/>
    <w:rsid w:val="009257C3"/>
    <w:rsid w:val="00925AB8"/>
    <w:rsid w:val="009314AA"/>
    <w:rsid w:val="0093239F"/>
    <w:rsid w:val="00933B75"/>
    <w:rsid w:val="00935E61"/>
    <w:rsid w:val="00936F37"/>
    <w:rsid w:val="00940196"/>
    <w:rsid w:val="009412F2"/>
    <w:rsid w:val="00941332"/>
    <w:rsid w:val="00943156"/>
    <w:rsid w:val="00943AE9"/>
    <w:rsid w:val="009450C9"/>
    <w:rsid w:val="009504D9"/>
    <w:rsid w:val="0095114F"/>
    <w:rsid w:val="009519F8"/>
    <w:rsid w:val="00953E78"/>
    <w:rsid w:val="00953FA6"/>
    <w:rsid w:val="00954654"/>
    <w:rsid w:val="009570A8"/>
    <w:rsid w:val="00957488"/>
    <w:rsid w:val="00957CA9"/>
    <w:rsid w:val="009613EA"/>
    <w:rsid w:val="00962A3F"/>
    <w:rsid w:val="00962A58"/>
    <w:rsid w:val="00962F21"/>
    <w:rsid w:val="00965076"/>
    <w:rsid w:val="00965D89"/>
    <w:rsid w:val="00970A64"/>
    <w:rsid w:val="0097129D"/>
    <w:rsid w:val="00971E7C"/>
    <w:rsid w:val="0097275A"/>
    <w:rsid w:val="0097349F"/>
    <w:rsid w:val="00973D21"/>
    <w:rsid w:val="009748D7"/>
    <w:rsid w:val="00974EE3"/>
    <w:rsid w:val="009827FC"/>
    <w:rsid w:val="00982A79"/>
    <w:rsid w:val="00982D0D"/>
    <w:rsid w:val="00983EAE"/>
    <w:rsid w:val="009851CB"/>
    <w:rsid w:val="00986164"/>
    <w:rsid w:val="00986621"/>
    <w:rsid w:val="00987F83"/>
    <w:rsid w:val="009902A0"/>
    <w:rsid w:val="00991F1F"/>
    <w:rsid w:val="0099225F"/>
    <w:rsid w:val="00993B69"/>
    <w:rsid w:val="00994A1F"/>
    <w:rsid w:val="00997492"/>
    <w:rsid w:val="00997EA9"/>
    <w:rsid w:val="009A0305"/>
    <w:rsid w:val="009A07B6"/>
    <w:rsid w:val="009A12B7"/>
    <w:rsid w:val="009A376F"/>
    <w:rsid w:val="009A7F87"/>
    <w:rsid w:val="009B0575"/>
    <w:rsid w:val="009B096E"/>
    <w:rsid w:val="009B1D07"/>
    <w:rsid w:val="009B332C"/>
    <w:rsid w:val="009B3D5A"/>
    <w:rsid w:val="009B3F1A"/>
    <w:rsid w:val="009B5E36"/>
    <w:rsid w:val="009B67C2"/>
    <w:rsid w:val="009B7710"/>
    <w:rsid w:val="009B7E3D"/>
    <w:rsid w:val="009C0144"/>
    <w:rsid w:val="009C14C6"/>
    <w:rsid w:val="009C152A"/>
    <w:rsid w:val="009C227F"/>
    <w:rsid w:val="009C22F0"/>
    <w:rsid w:val="009C383B"/>
    <w:rsid w:val="009C5C8D"/>
    <w:rsid w:val="009C5D92"/>
    <w:rsid w:val="009C6438"/>
    <w:rsid w:val="009C7F9C"/>
    <w:rsid w:val="009D014C"/>
    <w:rsid w:val="009D0D0C"/>
    <w:rsid w:val="009D151B"/>
    <w:rsid w:val="009D3304"/>
    <w:rsid w:val="009D3ADE"/>
    <w:rsid w:val="009D3C66"/>
    <w:rsid w:val="009D6227"/>
    <w:rsid w:val="009D7CDD"/>
    <w:rsid w:val="009E0DFB"/>
    <w:rsid w:val="009E124F"/>
    <w:rsid w:val="009E1C3A"/>
    <w:rsid w:val="009E63C0"/>
    <w:rsid w:val="009F2C14"/>
    <w:rsid w:val="009F32BF"/>
    <w:rsid w:val="009F3C00"/>
    <w:rsid w:val="009F4BB9"/>
    <w:rsid w:val="009F5CB4"/>
    <w:rsid w:val="009F5FF0"/>
    <w:rsid w:val="009F642D"/>
    <w:rsid w:val="009F75BE"/>
    <w:rsid w:val="00A00CE0"/>
    <w:rsid w:val="00A0123F"/>
    <w:rsid w:val="00A01B2F"/>
    <w:rsid w:val="00A02574"/>
    <w:rsid w:val="00A027AA"/>
    <w:rsid w:val="00A03C1E"/>
    <w:rsid w:val="00A03D69"/>
    <w:rsid w:val="00A06B39"/>
    <w:rsid w:val="00A06FE1"/>
    <w:rsid w:val="00A07DE4"/>
    <w:rsid w:val="00A10939"/>
    <w:rsid w:val="00A109F6"/>
    <w:rsid w:val="00A11E7D"/>
    <w:rsid w:val="00A11EBB"/>
    <w:rsid w:val="00A1316E"/>
    <w:rsid w:val="00A1511F"/>
    <w:rsid w:val="00A15907"/>
    <w:rsid w:val="00A16FFA"/>
    <w:rsid w:val="00A22744"/>
    <w:rsid w:val="00A227FD"/>
    <w:rsid w:val="00A26763"/>
    <w:rsid w:val="00A32B9D"/>
    <w:rsid w:val="00A32CC4"/>
    <w:rsid w:val="00A33908"/>
    <w:rsid w:val="00A34A01"/>
    <w:rsid w:val="00A34BAC"/>
    <w:rsid w:val="00A34BD3"/>
    <w:rsid w:val="00A36D92"/>
    <w:rsid w:val="00A414BB"/>
    <w:rsid w:val="00A42027"/>
    <w:rsid w:val="00A4299D"/>
    <w:rsid w:val="00A433CE"/>
    <w:rsid w:val="00A43563"/>
    <w:rsid w:val="00A43B7D"/>
    <w:rsid w:val="00A45660"/>
    <w:rsid w:val="00A4585B"/>
    <w:rsid w:val="00A46839"/>
    <w:rsid w:val="00A47FC7"/>
    <w:rsid w:val="00A5051F"/>
    <w:rsid w:val="00A50DBA"/>
    <w:rsid w:val="00A51A82"/>
    <w:rsid w:val="00A5231F"/>
    <w:rsid w:val="00A52CE0"/>
    <w:rsid w:val="00A52DDB"/>
    <w:rsid w:val="00A53DE6"/>
    <w:rsid w:val="00A543FF"/>
    <w:rsid w:val="00A546BC"/>
    <w:rsid w:val="00A61FA1"/>
    <w:rsid w:val="00A63335"/>
    <w:rsid w:val="00A63B8D"/>
    <w:rsid w:val="00A648D8"/>
    <w:rsid w:val="00A6516B"/>
    <w:rsid w:val="00A65D01"/>
    <w:rsid w:val="00A65DCF"/>
    <w:rsid w:val="00A65FD3"/>
    <w:rsid w:val="00A67080"/>
    <w:rsid w:val="00A71D6C"/>
    <w:rsid w:val="00A74292"/>
    <w:rsid w:val="00A748A2"/>
    <w:rsid w:val="00A75078"/>
    <w:rsid w:val="00A7643F"/>
    <w:rsid w:val="00A772A3"/>
    <w:rsid w:val="00A77C4D"/>
    <w:rsid w:val="00A81C24"/>
    <w:rsid w:val="00A81CD9"/>
    <w:rsid w:val="00A83981"/>
    <w:rsid w:val="00A84029"/>
    <w:rsid w:val="00A870E7"/>
    <w:rsid w:val="00A87DA4"/>
    <w:rsid w:val="00A93C2A"/>
    <w:rsid w:val="00A942E4"/>
    <w:rsid w:val="00A9644C"/>
    <w:rsid w:val="00A971BC"/>
    <w:rsid w:val="00A978F4"/>
    <w:rsid w:val="00A9793E"/>
    <w:rsid w:val="00AA2489"/>
    <w:rsid w:val="00AA3DDB"/>
    <w:rsid w:val="00AA46C8"/>
    <w:rsid w:val="00AA512C"/>
    <w:rsid w:val="00AA666F"/>
    <w:rsid w:val="00AA765A"/>
    <w:rsid w:val="00AA7BD8"/>
    <w:rsid w:val="00AB0D47"/>
    <w:rsid w:val="00AB17D9"/>
    <w:rsid w:val="00AB1ACF"/>
    <w:rsid w:val="00AB3108"/>
    <w:rsid w:val="00AB4363"/>
    <w:rsid w:val="00AB4499"/>
    <w:rsid w:val="00AB49C2"/>
    <w:rsid w:val="00AB4FD7"/>
    <w:rsid w:val="00AB50AA"/>
    <w:rsid w:val="00AB7098"/>
    <w:rsid w:val="00AB7966"/>
    <w:rsid w:val="00AC36A3"/>
    <w:rsid w:val="00AC4403"/>
    <w:rsid w:val="00AC5438"/>
    <w:rsid w:val="00AC6DF3"/>
    <w:rsid w:val="00AD097D"/>
    <w:rsid w:val="00AD1830"/>
    <w:rsid w:val="00AD1F46"/>
    <w:rsid w:val="00AD25F2"/>
    <w:rsid w:val="00AD42C2"/>
    <w:rsid w:val="00AD480D"/>
    <w:rsid w:val="00AD4A15"/>
    <w:rsid w:val="00AD5074"/>
    <w:rsid w:val="00AD51BA"/>
    <w:rsid w:val="00AD6FBC"/>
    <w:rsid w:val="00AD7E97"/>
    <w:rsid w:val="00AE09A4"/>
    <w:rsid w:val="00AE0A73"/>
    <w:rsid w:val="00AE3373"/>
    <w:rsid w:val="00AE4188"/>
    <w:rsid w:val="00AE41AB"/>
    <w:rsid w:val="00AE6733"/>
    <w:rsid w:val="00AE6B1D"/>
    <w:rsid w:val="00AE71CB"/>
    <w:rsid w:val="00AF0A16"/>
    <w:rsid w:val="00AF0C00"/>
    <w:rsid w:val="00AF18AF"/>
    <w:rsid w:val="00AF1AD0"/>
    <w:rsid w:val="00AF25B3"/>
    <w:rsid w:val="00AF3D2B"/>
    <w:rsid w:val="00AF4C30"/>
    <w:rsid w:val="00AF57AB"/>
    <w:rsid w:val="00AF7241"/>
    <w:rsid w:val="00AF73A4"/>
    <w:rsid w:val="00B014D2"/>
    <w:rsid w:val="00B01680"/>
    <w:rsid w:val="00B042B6"/>
    <w:rsid w:val="00B05D7D"/>
    <w:rsid w:val="00B060B1"/>
    <w:rsid w:val="00B07B5E"/>
    <w:rsid w:val="00B115E5"/>
    <w:rsid w:val="00B13EF8"/>
    <w:rsid w:val="00B14152"/>
    <w:rsid w:val="00B1454A"/>
    <w:rsid w:val="00B17511"/>
    <w:rsid w:val="00B17963"/>
    <w:rsid w:val="00B202DC"/>
    <w:rsid w:val="00B202EE"/>
    <w:rsid w:val="00B21BAC"/>
    <w:rsid w:val="00B22B82"/>
    <w:rsid w:val="00B232BB"/>
    <w:rsid w:val="00B2491A"/>
    <w:rsid w:val="00B25D43"/>
    <w:rsid w:val="00B2634D"/>
    <w:rsid w:val="00B27E5C"/>
    <w:rsid w:val="00B3148C"/>
    <w:rsid w:val="00B332E4"/>
    <w:rsid w:val="00B34798"/>
    <w:rsid w:val="00B35649"/>
    <w:rsid w:val="00B40B10"/>
    <w:rsid w:val="00B41328"/>
    <w:rsid w:val="00B41D51"/>
    <w:rsid w:val="00B4278E"/>
    <w:rsid w:val="00B4635A"/>
    <w:rsid w:val="00B4753A"/>
    <w:rsid w:val="00B5032F"/>
    <w:rsid w:val="00B521DA"/>
    <w:rsid w:val="00B524A2"/>
    <w:rsid w:val="00B5363C"/>
    <w:rsid w:val="00B54273"/>
    <w:rsid w:val="00B54FB5"/>
    <w:rsid w:val="00B550F8"/>
    <w:rsid w:val="00B55540"/>
    <w:rsid w:val="00B55CC7"/>
    <w:rsid w:val="00B56830"/>
    <w:rsid w:val="00B617FE"/>
    <w:rsid w:val="00B6342A"/>
    <w:rsid w:val="00B63B59"/>
    <w:rsid w:val="00B63D97"/>
    <w:rsid w:val="00B6409F"/>
    <w:rsid w:val="00B6421E"/>
    <w:rsid w:val="00B66644"/>
    <w:rsid w:val="00B67F10"/>
    <w:rsid w:val="00B706A0"/>
    <w:rsid w:val="00B70E99"/>
    <w:rsid w:val="00B71463"/>
    <w:rsid w:val="00B71CAE"/>
    <w:rsid w:val="00B72FB2"/>
    <w:rsid w:val="00B74845"/>
    <w:rsid w:val="00B7540E"/>
    <w:rsid w:val="00B7561A"/>
    <w:rsid w:val="00B779BB"/>
    <w:rsid w:val="00B80131"/>
    <w:rsid w:val="00B806B8"/>
    <w:rsid w:val="00B82360"/>
    <w:rsid w:val="00B83205"/>
    <w:rsid w:val="00B8661A"/>
    <w:rsid w:val="00B86DD0"/>
    <w:rsid w:val="00B90768"/>
    <w:rsid w:val="00B92B89"/>
    <w:rsid w:val="00B959E1"/>
    <w:rsid w:val="00B95B6A"/>
    <w:rsid w:val="00B95FA9"/>
    <w:rsid w:val="00BA1C26"/>
    <w:rsid w:val="00BA1E47"/>
    <w:rsid w:val="00BA3243"/>
    <w:rsid w:val="00BA5DDE"/>
    <w:rsid w:val="00BB17AB"/>
    <w:rsid w:val="00BB2100"/>
    <w:rsid w:val="00BB244C"/>
    <w:rsid w:val="00BB2EA8"/>
    <w:rsid w:val="00BB52C7"/>
    <w:rsid w:val="00BB53FB"/>
    <w:rsid w:val="00BB5B4B"/>
    <w:rsid w:val="00BB632B"/>
    <w:rsid w:val="00BB63B3"/>
    <w:rsid w:val="00BB6966"/>
    <w:rsid w:val="00BC13B8"/>
    <w:rsid w:val="00BC1C56"/>
    <w:rsid w:val="00BC5798"/>
    <w:rsid w:val="00BC7DED"/>
    <w:rsid w:val="00BD0503"/>
    <w:rsid w:val="00BD0726"/>
    <w:rsid w:val="00BD0971"/>
    <w:rsid w:val="00BD0F6E"/>
    <w:rsid w:val="00BD121D"/>
    <w:rsid w:val="00BD35B5"/>
    <w:rsid w:val="00BD3FC2"/>
    <w:rsid w:val="00BD4336"/>
    <w:rsid w:val="00BD7385"/>
    <w:rsid w:val="00BD790B"/>
    <w:rsid w:val="00BD7B65"/>
    <w:rsid w:val="00BE073F"/>
    <w:rsid w:val="00BE14C1"/>
    <w:rsid w:val="00BE40B4"/>
    <w:rsid w:val="00BE4283"/>
    <w:rsid w:val="00BE4309"/>
    <w:rsid w:val="00BE66D6"/>
    <w:rsid w:val="00BE6759"/>
    <w:rsid w:val="00BF0446"/>
    <w:rsid w:val="00BF19F3"/>
    <w:rsid w:val="00BF258C"/>
    <w:rsid w:val="00BF556A"/>
    <w:rsid w:val="00BF7073"/>
    <w:rsid w:val="00BF70DA"/>
    <w:rsid w:val="00BF74F8"/>
    <w:rsid w:val="00C01E47"/>
    <w:rsid w:val="00C02BFC"/>
    <w:rsid w:val="00C030A7"/>
    <w:rsid w:val="00C04B5D"/>
    <w:rsid w:val="00C0592C"/>
    <w:rsid w:val="00C05D21"/>
    <w:rsid w:val="00C05E54"/>
    <w:rsid w:val="00C0623A"/>
    <w:rsid w:val="00C06FFA"/>
    <w:rsid w:val="00C07841"/>
    <w:rsid w:val="00C103A9"/>
    <w:rsid w:val="00C10C93"/>
    <w:rsid w:val="00C11AFA"/>
    <w:rsid w:val="00C13B17"/>
    <w:rsid w:val="00C156F5"/>
    <w:rsid w:val="00C205C8"/>
    <w:rsid w:val="00C215CB"/>
    <w:rsid w:val="00C21651"/>
    <w:rsid w:val="00C24414"/>
    <w:rsid w:val="00C252F5"/>
    <w:rsid w:val="00C262BE"/>
    <w:rsid w:val="00C326DC"/>
    <w:rsid w:val="00C36664"/>
    <w:rsid w:val="00C4404A"/>
    <w:rsid w:val="00C45B4B"/>
    <w:rsid w:val="00C46494"/>
    <w:rsid w:val="00C47BE9"/>
    <w:rsid w:val="00C53F50"/>
    <w:rsid w:val="00C55ED8"/>
    <w:rsid w:val="00C565A6"/>
    <w:rsid w:val="00C56A64"/>
    <w:rsid w:val="00C60AA6"/>
    <w:rsid w:val="00C6393A"/>
    <w:rsid w:val="00C63EC1"/>
    <w:rsid w:val="00C64EE3"/>
    <w:rsid w:val="00C6593E"/>
    <w:rsid w:val="00C664D3"/>
    <w:rsid w:val="00C665E2"/>
    <w:rsid w:val="00C70A8A"/>
    <w:rsid w:val="00C71DB6"/>
    <w:rsid w:val="00C72708"/>
    <w:rsid w:val="00C72D75"/>
    <w:rsid w:val="00C755C6"/>
    <w:rsid w:val="00C7667C"/>
    <w:rsid w:val="00C767B0"/>
    <w:rsid w:val="00C80F0F"/>
    <w:rsid w:val="00C8148A"/>
    <w:rsid w:val="00C816A5"/>
    <w:rsid w:val="00C81954"/>
    <w:rsid w:val="00C84B99"/>
    <w:rsid w:val="00C84E94"/>
    <w:rsid w:val="00C85D0C"/>
    <w:rsid w:val="00C860C8"/>
    <w:rsid w:val="00C86991"/>
    <w:rsid w:val="00C8784D"/>
    <w:rsid w:val="00C87ADE"/>
    <w:rsid w:val="00C90B56"/>
    <w:rsid w:val="00C90B89"/>
    <w:rsid w:val="00C929FC"/>
    <w:rsid w:val="00C960A7"/>
    <w:rsid w:val="00CA0B71"/>
    <w:rsid w:val="00CA0E07"/>
    <w:rsid w:val="00CA1E8D"/>
    <w:rsid w:val="00CA287A"/>
    <w:rsid w:val="00CA4BD7"/>
    <w:rsid w:val="00CA57DC"/>
    <w:rsid w:val="00CA6E0E"/>
    <w:rsid w:val="00CA7A19"/>
    <w:rsid w:val="00CB0B61"/>
    <w:rsid w:val="00CB2AB0"/>
    <w:rsid w:val="00CB3B20"/>
    <w:rsid w:val="00CB49EE"/>
    <w:rsid w:val="00CB567B"/>
    <w:rsid w:val="00CB5696"/>
    <w:rsid w:val="00CC17F2"/>
    <w:rsid w:val="00CC3E20"/>
    <w:rsid w:val="00CC4AD0"/>
    <w:rsid w:val="00CD042F"/>
    <w:rsid w:val="00CD137D"/>
    <w:rsid w:val="00CD2122"/>
    <w:rsid w:val="00CD3A60"/>
    <w:rsid w:val="00CD3B38"/>
    <w:rsid w:val="00CD4281"/>
    <w:rsid w:val="00CD65B4"/>
    <w:rsid w:val="00CE03A6"/>
    <w:rsid w:val="00CE0A26"/>
    <w:rsid w:val="00CE41D2"/>
    <w:rsid w:val="00CE5F40"/>
    <w:rsid w:val="00CE6224"/>
    <w:rsid w:val="00CF05FA"/>
    <w:rsid w:val="00CF0F03"/>
    <w:rsid w:val="00CF156C"/>
    <w:rsid w:val="00CF162E"/>
    <w:rsid w:val="00CF27EA"/>
    <w:rsid w:val="00CF4218"/>
    <w:rsid w:val="00CF536E"/>
    <w:rsid w:val="00CF53C6"/>
    <w:rsid w:val="00CF62D6"/>
    <w:rsid w:val="00CF638C"/>
    <w:rsid w:val="00D009FF"/>
    <w:rsid w:val="00D01C5E"/>
    <w:rsid w:val="00D021B5"/>
    <w:rsid w:val="00D038C5"/>
    <w:rsid w:val="00D10102"/>
    <w:rsid w:val="00D11014"/>
    <w:rsid w:val="00D115FA"/>
    <w:rsid w:val="00D137EA"/>
    <w:rsid w:val="00D1394A"/>
    <w:rsid w:val="00D13965"/>
    <w:rsid w:val="00D1429E"/>
    <w:rsid w:val="00D14951"/>
    <w:rsid w:val="00D15A2E"/>
    <w:rsid w:val="00D15A80"/>
    <w:rsid w:val="00D161C7"/>
    <w:rsid w:val="00D16568"/>
    <w:rsid w:val="00D22053"/>
    <w:rsid w:val="00D24128"/>
    <w:rsid w:val="00D252BD"/>
    <w:rsid w:val="00D252DE"/>
    <w:rsid w:val="00D25903"/>
    <w:rsid w:val="00D25C05"/>
    <w:rsid w:val="00D26CD5"/>
    <w:rsid w:val="00D3046B"/>
    <w:rsid w:val="00D314BC"/>
    <w:rsid w:val="00D31945"/>
    <w:rsid w:val="00D321E6"/>
    <w:rsid w:val="00D36ABF"/>
    <w:rsid w:val="00D37D0D"/>
    <w:rsid w:val="00D3E920"/>
    <w:rsid w:val="00D42C3C"/>
    <w:rsid w:val="00D44850"/>
    <w:rsid w:val="00D5257E"/>
    <w:rsid w:val="00D548B1"/>
    <w:rsid w:val="00D5499A"/>
    <w:rsid w:val="00D5565F"/>
    <w:rsid w:val="00D558C9"/>
    <w:rsid w:val="00D55A23"/>
    <w:rsid w:val="00D5625F"/>
    <w:rsid w:val="00D56857"/>
    <w:rsid w:val="00D57329"/>
    <w:rsid w:val="00D57773"/>
    <w:rsid w:val="00D61CAA"/>
    <w:rsid w:val="00D6555B"/>
    <w:rsid w:val="00D66FF4"/>
    <w:rsid w:val="00D7064E"/>
    <w:rsid w:val="00D71942"/>
    <w:rsid w:val="00D73CC9"/>
    <w:rsid w:val="00D740C2"/>
    <w:rsid w:val="00D74369"/>
    <w:rsid w:val="00D74642"/>
    <w:rsid w:val="00D7479B"/>
    <w:rsid w:val="00D75604"/>
    <w:rsid w:val="00D7661F"/>
    <w:rsid w:val="00D76829"/>
    <w:rsid w:val="00D77F4C"/>
    <w:rsid w:val="00D80002"/>
    <w:rsid w:val="00D80691"/>
    <w:rsid w:val="00D80DD7"/>
    <w:rsid w:val="00D80DEA"/>
    <w:rsid w:val="00D84606"/>
    <w:rsid w:val="00D87A3A"/>
    <w:rsid w:val="00D91B3E"/>
    <w:rsid w:val="00D92535"/>
    <w:rsid w:val="00D97436"/>
    <w:rsid w:val="00D97F18"/>
    <w:rsid w:val="00DA5F27"/>
    <w:rsid w:val="00DA72F5"/>
    <w:rsid w:val="00DA7660"/>
    <w:rsid w:val="00DB05A3"/>
    <w:rsid w:val="00DB49B2"/>
    <w:rsid w:val="00DB5F5B"/>
    <w:rsid w:val="00DB779F"/>
    <w:rsid w:val="00DB7D40"/>
    <w:rsid w:val="00DC039D"/>
    <w:rsid w:val="00DC244E"/>
    <w:rsid w:val="00DC3FC5"/>
    <w:rsid w:val="00DC58F2"/>
    <w:rsid w:val="00DC5DA1"/>
    <w:rsid w:val="00DC614D"/>
    <w:rsid w:val="00DD0637"/>
    <w:rsid w:val="00DD1087"/>
    <w:rsid w:val="00DD2837"/>
    <w:rsid w:val="00DD2CDF"/>
    <w:rsid w:val="00DD44A0"/>
    <w:rsid w:val="00DD4C2E"/>
    <w:rsid w:val="00DE2E77"/>
    <w:rsid w:val="00DE489F"/>
    <w:rsid w:val="00DE5452"/>
    <w:rsid w:val="00DE616E"/>
    <w:rsid w:val="00DE6176"/>
    <w:rsid w:val="00DE6369"/>
    <w:rsid w:val="00DE65F7"/>
    <w:rsid w:val="00DF04DD"/>
    <w:rsid w:val="00DF09FB"/>
    <w:rsid w:val="00DF223B"/>
    <w:rsid w:val="00DF587B"/>
    <w:rsid w:val="00DF5FC8"/>
    <w:rsid w:val="00DF6884"/>
    <w:rsid w:val="00DF6D13"/>
    <w:rsid w:val="00DF7EE4"/>
    <w:rsid w:val="00E0048A"/>
    <w:rsid w:val="00E00BF5"/>
    <w:rsid w:val="00E0445E"/>
    <w:rsid w:val="00E05D6C"/>
    <w:rsid w:val="00E108FE"/>
    <w:rsid w:val="00E11CF8"/>
    <w:rsid w:val="00E1257F"/>
    <w:rsid w:val="00E22CCD"/>
    <w:rsid w:val="00E2457F"/>
    <w:rsid w:val="00E26AD9"/>
    <w:rsid w:val="00E26B5E"/>
    <w:rsid w:val="00E30F05"/>
    <w:rsid w:val="00E32886"/>
    <w:rsid w:val="00E34AD6"/>
    <w:rsid w:val="00E36986"/>
    <w:rsid w:val="00E378AF"/>
    <w:rsid w:val="00E41BF8"/>
    <w:rsid w:val="00E432A9"/>
    <w:rsid w:val="00E4372C"/>
    <w:rsid w:val="00E43A41"/>
    <w:rsid w:val="00E44E1C"/>
    <w:rsid w:val="00E46D5F"/>
    <w:rsid w:val="00E51BC0"/>
    <w:rsid w:val="00E51EC5"/>
    <w:rsid w:val="00E52C2D"/>
    <w:rsid w:val="00E55E64"/>
    <w:rsid w:val="00E569D7"/>
    <w:rsid w:val="00E5714F"/>
    <w:rsid w:val="00E63E7A"/>
    <w:rsid w:val="00E66831"/>
    <w:rsid w:val="00E66893"/>
    <w:rsid w:val="00E7041E"/>
    <w:rsid w:val="00E70669"/>
    <w:rsid w:val="00E70CA1"/>
    <w:rsid w:val="00E7121A"/>
    <w:rsid w:val="00E7169C"/>
    <w:rsid w:val="00E71F2E"/>
    <w:rsid w:val="00E72492"/>
    <w:rsid w:val="00E729FA"/>
    <w:rsid w:val="00E72A96"/>
    <w:rsid w:val="00E74556"/>
    <w:rsid w:val="00E7564F"/>
    <w:rsid w:val="00E762C7"/>
    <w:rsid w:val="00E76DE5"/>
    <w:rsid w:val="00E801C5"/>
    <w:rsid w:val="00E81CAF"/>
    <w:rsid w:val="00E86472"/>
    <w:rsid w:val="00E864E3"/>
    <w:rsid w:val="00E879E3"/>
    <w:rsid w:val="00E914EB"/>
    <w:rsid w:val="00E91879"/>
    <w:rsid w:val="00E93653"/>
    <w:rsid w:val="00E9632D"/>
    <w:rsid w:val="00E975E2"/>
    <w:rsid w:val="00EA16DE"/>
    <w:rsid w:val="00EA2D81"/>
    <w:rsid w:val="00EA31C3"/>
    <w:rsid w:val="00EA3BCB"/>
    <w:rsid w:val="00EA4902"/>
    <w:rsid w:val="00EA6F6A"/>
    <w:rsid w:val="00EB0CEB"/>
    <w:rsid w:val="00EB2134"/>
    <w:rsid w:val="00EB3119"/>
    <w:rsid w:val="00EB4092"/>
    <w:rsid w:val="00EB40C5"/>
    <w:rsid w:val="00EB68DC"/>
    <w:rsid w:val="00EB6CFC"/>
    <w:rsid w:val="00EB72EB"/>
    <w:rsid w:val="00EC01B9"/>
    <w:rsid w:val="00EC298F"/>
    <w:rsid w:val="00EC37E3"/>
    <w:rsid w:val="00EC695F"/>
    <w:rsid w:val="00EC7808"/>
    <w:rsid w:val="00EC7E3B"/>
    <w:rsid w:val="00ED1014"/>
    <w:rsid w:val="00ED4817"/>
    <w:rsid w:val="00ED51DB"/>
    <w:rsid w:val="00ED5A10"/>
    <w:rsid w:val="00ED6648"/>
    <w:rsid w:val="00ED6696"/>
    <w:rsid w:val="00EE04EC"/>
    <w:rsid w:val="00EE34AA"/>
    <w:rsid w:val="00EE6DFD"/>
    <w:rsid w:val="00EE7DB5"/>
    <w:rsid w:val="00EF112D"/>
    <w:rsid w:val="00EF135D"/>
    <w:rsid w:val="00EF23E9"/>
    <w:rsid w:val="00EF452A"/>
    <w:rsid w:val="00EF73D6"/>
    <w:rsid w:val="00EF7E7E"/>
    <w:rsid w:val="00F00D1C"/>
    <w:rsid w:val="00F01810"/>
    <w:rsid w:val="00F03002"/>
    <w:rsid w:val="00F039A5"/>
    <w:rsid w:val="00F04900"/>
    <w:rsid w:val="00F050F6"/>
    <w:rsid w:val="00F05DA0"/>
    <w:rsid w:val="00F07E4A"/>
    <w:rsid w:val="00F12632"/>
    <w:rsid w:val="00F12C0C"/>
    <w:rsid w:val="00F14869"/>
    <w:rsid w:val="00F161B9"/>
    <w:rsid w:val="00F17839"/>
    <w:rsid w:val="00F17BE4"/>
    <w:rsid w:val="00F211A9"/>
    <w:rsid w:val="00F232F8"/>
    <w:rsid w:val="00F244E1"/>
    <w:rsid w:val="00F24B6F"/>
    <w:rsid w:val="00F26208"/>
    <w:rsid w:val="00F26717"/>
    <w:rsid w:val="00F30250"/>
    <w:rsid w:val="00F318F1"/>
    <w:rsid w:val="00F31D0F"/>
    <w:rsid w:val="00F32706"/>
    <w:rsid w:val="00F33C3B"/>
    <w:rsid w:val="00F36D62"/>
    <w:rsid w:val="00F37F47"/>
    <w:rsid w:val="00F410CD"/>
    <w:rsid w:val="00F41776"/>
    <w:rsid w:val="00F42C30"/>
    <w:rsid w:val="00F42C5E"/>
    <w:rsid w:val="00F441FB"/>
    <w:rsid w:val="00F45E25"/>
    <w:rsid w:val="00F465FE"/>
    <w:rsid w:val="00F46ACF"/>
    <w:rsid w:val="00F46EDA"/>
    <w:rsid w:val="00F478D8"/>
    <w:rsid w:val="00F50FE1"/>
    <w:rsid w:val="00F5153B"/>
    <w:rsid w:val="00F52F7C"/>
    <w:rsid w:val="00F557C9"/>
    <w:rsid w:val="00F562C9"/>
    <w:rsid w:val="00F57A81"/>
    <w:rsid w:val="00F628AE"/>
    <w:rsid w:val="00F63144"/>
    <w:rsid w:val="00F63473"/>
    <w:rsid w:val="00F63CE7"/>
    <w:rsid w:val="00F63D3D"/>
    <w:rsid w:val="00F6460C"/>
    <w:rsid w:val="00F66009"/>
    <w:rsid w:val="00F6618F"/>
    <w:rsid w:val="00F717A8"/>
    <w:rsid w:val="00F722A8"/>
    <w:rsid w:val="00F732E0"/>
    <w:rsid w:val="00F74878"/>
    <w:rsid w:val="00F774F3"/>
    <w:rsid w:val="00F80478"/>
    <w:rsid w:val="00F80EF1"/>
    <w:rsid w:val="00F813AA"/>
    <w:rsid w:val="00F82B6F"/>
    <w:rsid w:val="00F83692"/>
    <w:rsid w:val="00F83A2A"/>
    <w:rsid w:val="00F86739"/>
    <w:rsid w:val="00F86A33"/>
    <w:rsid w:val="00F86CD8"/>
    <w:rsid w:val="00F87020"/>
    <w:rsid w:val="00F91EA2"/>
    <w:rsid w:val="00F9236D"/>
    <w:rsid w:val="00F93217"/>
    <w:rsid w:val="00F950C8"/>
    <w:rsid w:val="00F95A40"/>
    <w:rsid w:val="00F960A0"/>
    <w:rsid w:val="00FA0EFF"/>
    <w:rsid w:val="00FA18F4"/>
    <w:rsid w:val="00FA3770"/>
    <w:rsid w:val="00FA50CA"/>
    <w:rsid w:val="00FA5E61"/>
    <w:rsid w:val="00FA65B7"/>
    <w:rsid w:val="00FA7A3C"/>
    <w:rsid w:val="00FB0802"/>
    <w:rsid w:val="00FB177B"/>
    <w:rsid w:val="00FB1EFB"/>
    <w:rsid w:val="00FB1FE6"/>
    <w:rsid w:val="00FB20FE"/>
    <w:rsid w:val="00FB3D6B"/>
    <w:rsid w:val="00FB44F1"/>
    <w:rsid w:val="00FB5304"/>
    <w:rsid w:val="00FB5397"/>
    <w:rsid w:val="00FB5B3E"/>
    <w:rsid w:val="00FB63DA"/>
    <w:rsid w:val="00FB6A0D"/>
    <w:rsid w:val="00FB6ECB"/>
    <w:rsid w:val="00FB7958"/>
    <w:rsid w:val="00FC0FCB"/>
    <w:rsid w:val="00FC2700"/>
    <w:rsid w:val="00FC2A9C"/>
    <w:rsid w:val="00FC3031"/>
    <w:rsid w:val="00FC52ED"/>
    <w:rsid w:val="00FC6CBC"/>
    <w:rsid w:val="00FC7415"/>
    <w:rsid w:val="00FC7421"/>
    <w:rsid w:val="00FD1EF9"/>
    <w:rsid w:val="00FD4359"/>
    <w:rsid w:val="00FD53B0"/>
    <w:rsid w:val="00FD6685"/>
    <w:rsid w:val="00FD6B7F"/>
    <w:rsid w:val="00FE277A"/>
    <w:rsid w:val="00FE3639"/>
    <w:rsid w:val="00FE4717"/>
    <w:rsid w:val="00FE4D1F"/>
    <w:rsid w:val="00FE5F16"/>
    <w:rsid w:val="00FF083C"/>
    <w:rsid w:val="00FF6E76"/>
    <w:rsid w:val="01220490"/>
    <w:rsid w:val="0254043C"/>
    <w:rsid w:val="03BA55FC"/>
    <w:rsid w:val="03DBD785"/>
    <w:rsid w:val="047840F2"/>
    <w:rsid w:val="0558EC62"/>
    <w:rsid w:val="064F6F65"/>
    <w:rsid w:val="0689D46E"/>
    <w:rsid w:val="06C17B96"/>
    <w:rsid w:val="06E4FD13"/>
    <w:rsid w:val="07DA9A22"/>
    <w:rsid w:val="081E5A54"/>
    <w:rsid w:val="0ADC2710"/>
    <w:rsid w:val="0B76042F"/>
    <w:rsid w:val="0C0EC780"/>
    <w:rsid w:val="0EC97F5C"/>
    <w:rsid w:val="0FC74E56"/>
    <w:rsid w:val="155AA131"/>
    <w:rsid w:val="15FF423B"/>
    <w:rsid w:val="16E83976"/>
    <w:rsid w:val="175FC6D6"/>
    <w:rsid w:val="18089FDC"/>
    <w:rsid w:val="1A342CA9"/>
    <w:rsid w:val="1A8D2B8E"/>
    <w:rsid w:val="1B71AA3A"/>
    <w:rsid w:val="1BF15A33"/>
    <w:rsid w:val="1C5B5B42"/>
    <w:rsid w:val="1C6BA9AA"/>
    <w:rsid w:val="1C71ED85"/>
    <w:rsid w:val="1D521F5E"/>
    <w:rsid w:val="1E00916C"/>
    <w:rsid w:val="1EC9CE4D"/>
    <w:rsid w:val="1F07BBC1"/>
    <w:rsid w:val="1FEFDEE4"/>
    <w:rsid w:val="24F3F3A6"/>
    <w:rsid w:val="260302D5"/>
    <w:rsid w:val="2623D22B"/>
    <w:rsid w:val="2677E759"/>
    <w:rsid w:val="26D51D9B"/>
    <w:rsid w:val="28B00D12"/>
    <w:rsid w:val="2AB80AB9"/>
    <w:rsid w:val="2B50DCBC"/>
    <w:rsid w:val="2C3743FB"/>
    <w:rsid w:val="2C72AB18"/>
    <w:rsid w:val="2CF7DE31"/>
    <w:rsid w:val="2DB4AD65"/>
    <w:rsid w:val="2DB4E939"/>
    <w:rsid w:val="2DB78ED7"/>
    <w:rsid w:val="2E49A464"/>
    <w:rsid w:val="2F389558"/>
    <w:rsid w:val="303B5446"/>
    <w:rsid w:val="30E59856"/>
    <w:rsid w:val="31111BC0"/>
    <w:rsid w:val="314EF03B"/>
    <w:rsid w:val="32D1FDB2"/>
    <w:rsid w:val="33576FC6"/>
    <w:rsid w:val="3443404D"/>
    <w:rsid w:val="357724C6"/>
    <w:rsid w:val="366CE88D"/>
    <w:rsid w:val="377A16F8"/>
    <w:rsid w:val="384B8F98"/>
    <w:rsid w:val="3A2907B0"/>
    <w:rsid w:val="3A433827"/>
    <w:rsid w:val="3AE201D0"/>
    <w:rsid w:val="3BA529E4"/>
    <w:rsid w:val="3CF79F09"/>
    <w:rsid w:val="3EDC11A2"/>
    <w:rsid w:val="3EFD101C"/>
    <w:rsid w:val="3F447115"/>
    <w:rsid w:val="3F98AB50"/>
    <w:rsid w:val="41298941"/>
    <w:rsid w:val="4269CA41"/>
    <w:rsid w:val="42BCDA42"/>
    <w:rsid w:val="42E52D65"/>
    <w:rsid w:val="4307172E"/>
    <w:rsid w:val="431F5CFC"/>
    <w:rsid w:val="441853AB"/>
    <w:rsid w:val="44947978"/>
    <w:rsid w:val="44DF5D86"/>
    <w:rsid w:val="46529CC2"/>
    <w:rsid w:val="46E59CA3"/>
    <w:rsid w:val="4705FD16"/>
    <w:rsid w:val="471C7551"/>
    <w:rsid w:val="472C13FB"/>
    <w:rsid w:val="4740FC4C"/>
    <w:rsid w:val="480C990F"/>
    <w:rsid w:val="496EF5AB"/>
    <w:rsid w:val="4C68DB87"/>
    <w:rsid w:val="4D7290D6"/>
    <w:rsid w:val="4D7FD0C3"/>
    <w:rsid w:val="4FC3F4D4"/>
    <w:rsid w:val="513D02CA"/>
    <w:rsid w:val="528CEBD0"/>
    <w:rsid w:val="559D7BBD"/>
    <w:rsid w:val="57D16499"/>
    <w:rsid w:val="58C66DAE"/>
    <w:rsid w:val="59BA7485"/>
    <w:rsid w:val="59FB8FBB"/>
    <w:rsid w:val="5A1FA060"/>
    <w:rsid w:val="5AB6E817"/>
    <w:rsid w:val="5E502FEE"/>
    <w:rsid w:val="5EB9B5D2"/>
    <w:rsid w:val="5F70C40D"/>
    <w:rsid w:val="5F94A3F9"/>
    <w:rsid w:val="6075B7AC"/>
    <w:rsid w:val="60834604"/>
    <w:rsid w:val="60B2429B"/>
    <w:rsid w:val="6165C78C"/>
    <w:rsid w:val="62C5CAC1"/>
    <w:rsid w:val="62F2D4C9"/>
    <w:rsid w:val="6384A2AC"/>
    <w:rsid w:val="644F4A51"/>
    <w:rsid w:val="647E1016"/>
    <w:rsid w:val="64DEF171"/>
    <w:rsid w:val="64FCEF78"/>
    <w:rsid w:val="65590D0B"/>
    <w:rsid w:val="6649C4AA"/>
    <w:rsid w:val="681E4CE8"/>
    <w:rsid w:val="68D1A4FD"/>
    <w:rsid w:val="691CF0C3"/>
    <w:rsid w:val="69DDD09C"/>
    <w:rsid w:val="6A81251D"/>
    <w:rsid w:val="6BE267FE"/>
    <w:rsid w:val="6CC53D44"/>
    <w:rsid w:val="6D29FDB7"/>
    <w:rsid w:val="6D5117FF"/>
    <w:rsid w:val="6DC732BA"/>
    <w:rsid w:val="72F3BFEE"/>
    <w:rsid w:val="74A4B838"/>
    <w:rsid w:val="753019F6"/>
    <w:rsid w:val="76F00B5C"/>
    <w:rsid w:val="77E3A176"/>
    <w:rsid w:val="793C82D3"/>
    <w:rsid w:val="794B077F"/>
    <w:rsid w:val="7BA5DB3F"/>
    <w:rsid w:val="7BF8FE47"/>
    <w:rsid w:val="7C31A892"/>
    <w:rsid w:val="7C5B0592"/>
    <w:rsid w:val="7CA98DCF"/>
    <w:rsid w:val="7CD7E0CC"/>
    <w:rsid w:val="7D8C9CD1"/>
    <w:rsid w:val="7E117446"/>
    <w:rsid w:val="7ED860F5"/>
    <w:rsid w:val="7F86999E"/>
    <w:rsid w:val="7F90FE51"/>
    <w:rsid w:val="7FF326A2"/>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2"/>
        <w:szCs w:val="22"/>
        <w:lang w:bidi="ar-SA" w:eastAsia="en-US" w:val="en-US"/>
      </w:rPr>
    </w:rPrDefault>
    <w:pPrDefault>
      <w:pPr>
        <w:spacing w:after="160" w:line="259"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rsid w:val="00D548B1"/>
    <w:pPr>
      <w:spacing w:after="120" w:line="240" w:lineRule="auto"/>
      <w:jc w:val="both"/>
      <w:outlineLvl w:val="2"/>
    </w:pPr>
    <w:rPr>
      <w:color w:val="16191F"/>
      <w:sz w:val="20"/>
      <w:szCs w:val="20"/>
    </w:rPr>
  </w:style>
  <w:style w:styleId="Heading1" w:type="paragraph">
    <w:name w:val="heading 1"/>
    <w:basedOn w:val="Normal"/>
    <w:next w:val="Normal"/>
    <w:link w:val="Heading1Char"/>
    <w:uiPriority w:val="9"/>
    <w:qFormat/>
    <w:rsid w:val="00E72A96"/>
    <w:pPr>
      <w:keepNext/>
      <w:keepLines/>
      <w:spacing w:after="0" w:before="240"/>
      <w:outlineLvl w:val="0"/>
    </w:pPr>
    <w:rPr>
      <w:rFonts w:asciiTheme="majorHAnsi" w:cstheme="majorBidi" w:eastAsiaTheme="majorEastAsia" w:hAnsiTheme="majorHAnsi"/>
      <w:b/>
      <w:color w:themeColor="text1" w:val="000000"/>
      <w:sz w:val="28"/>
      <w:szCs w:val="32"/>
    </w:rPr>
  </w:style>
  <w:style w:styleId="Heading2" w:type="paragraph">
    <w:name w:val="heading 2"/>
    <w:basedOn w:val="Normal"/>
    <w:next w:val="Normal"/>
    <w:link w:val="Heading2Char"/>
    <w:uiPriority w:val="9"/>
    <w:unhideWhenUsed/>
    <w:qFormat/>
    <w:rsid w:val="00DB05A3"/>
    <w:pPr>
      <w:numPr>
        <w:numId w:val="31"/>
      </w:numPr>
      <w:pBdr>
        <w:bottom w:color="auto" w:space="1" w:sz="6" w:val="single"/>
      </w:pBdr>
      <w:spacing w:after="0" w:before="180"/>
      <w:outlineLvl w:val="1"/>
    </w:pPr>
    <w:rPr>
      <w:b/>
      <w:bCs/>
      <w:sz w:val="24"/>
      <w:szCs w:val="24"/>
    </w:rPr>
  </w:style>
  <w:style w:styleId="Heading3" w:type="paragraph">
    <w:name w:val="heading 3"/>
    <w:basedOn w:val="Normal"/>
    <w:link w:val="Heading3Char"/>
    <w:uiPriority w:val="9"/>
    <w:qFormat/>
    <w:rsid w:val="00880B2A"/>
    <w:pPr>
      <w:numPr>
        <w:ilvl w:val="1"/>
        <w:numId w:val="31"/>
      </w:numPr>
      <w:spacing w:after="0"/>
      <w:ind w:hanging="540" w:left="540"/>
    </w:pPr>
    <w:rPr>
      <w:b/>
      <w:bCs/>
    </w:rPr>
  </w:style>
  <w:style w:styleId="Heading4" w:type="paragraph">
    <w:name w:val="heading 4"/>
    <w:basedOn w:val="Heading3"/>
    <w:next w:val="Normal"/>
    <w:link w:val="Heading4Char"/>
    <w:uiPriority w:val="9"/>
    <w:unhideWhenUsed/>
    <w:qFormat/>
    <w:rsid w:val="00A71D6C"/>
    <w:pPr>
      <w:numPr>
        <w:ilvl w:val="2"/>
      </w:numPr>
      <w:outlineLvl w:val="3"/>
    </w:pPr>
  </w:style>
  <w:style w:styleId="Heading5" w:type="paragraph">
    <w:name w:val="heading 5"/>
    <w:basedOn w:val="Normal"/>
    <w:next w:val="Normal"/>
    <w:link w:val="Heading5Char"/>
    <w:uiPriority w:val="9"/>
    <w:unhideWhenUsed/>
    <w:qFormat/>
    <w:rsid w:val="00A06B39"/>
    <w:pPr>
      <w:keepNext/>
      <w:keepLines/>
      <w:spacing w:after="0" w:before="40"/>
      <w:outlineLvl w:val="4"/>
    </w:pPr>
    <w:rPr>
      <w:rFonts w:asciiTheme="majorHAnsi" w:cstheme="majorBidi" w:eastAsiaTheme="majorEastAsia" w:hAnsiTheme="majorHAnsi"/>
      <w:color w:themeColor="accent1" w:themeShade="BF" w:val="2F5496"/>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3Char" w:type="character">
    <w:name w:val="Heading 3 Char"/>
    <w:basedOn w:val="DefaultParagraphFont"/>
    <w:link w:val="Heading3"/>
    <w:uiPriority w:val="9"/>
    <w:rsid w:val="00880B2A"/>
    <w:rPr>
      <w:b/>
      <w:bCs/>
      <w:color w:val="16191F"/>
      <w:sz w:val="20"/>
      <w:szCs w:val="20"/>
    </w:rPr>
  </w:style>
  <w:style w:styleId="LineNumber" w:type="character">
    <w:name w:val="line number"/>
    <w:basedOn w:val="DefaultParagraphFont"/>
    <w:uiPriority w:val="99"/>
    <w:semiHidden/>
    <w:unhideWhenUsed/>
    <w:rsid w:val="00C665E2"/>
  </w:style>
  <w:style w:styleId="Hyperlink" w:type="character">
    <w:name w:val="Hyperlink"/>
    <w:basedOn w:val="DefaultParagraphFont"/>
    <w:uiPriority w:val="99"/>
    <w:unhideWhenUsed/>
    <w:rsid w:val="00C665E2"/>
    <w:rPr>
      <w:color w:val="0000FF"/>
      <w:u w:val="single"/>
    </w:rPr>
  </w:style>
  <w:style w:styleId="ListParagraph" w:type="paragraph">
    <w:name w:val="List Paragraph"/>
    <w:basedOn w:val="Normal"/>
    <w:uiPriority w:val="34"/>
    <w:qFormat/>
    <w:rsid w:val="00136F4E"/>
    <w:pPr>
      <w:ind w:left="720"/>
      <w:contextualSpacing/>
    </w:pPr>
  </w:style>
  <w:style w:styleId="CommentReference" w:type="character">
    <w:name w:val="annotation reference"/>
    <w:basedOn w:val="DefaultParagraphFont"/>
    <w:uiPriority w:val="99"/>
    <w:semiHidden/>
    <w:unhideWhenUsed/>
    <w:rsid w:val="006C391F"/>
    <w:rPr>
      <w:sz w:val="16"/>
      <w:szCs w:val="16"/>
    </w:rPr>
  </w:style>
  <w:style w:styleId="CommentText" w:type="paragraph">
    <w:name w:val="annotation text"/>
    <w:basedOn w:val="Normal"/>
    <w:link w:val="CommentTextChar"/>
    <w:uiPriority w:val="99"/>
    <w:unhideWhenUsed/>
    <w:rsid w:val="006C391F"/>
  </w:style>
  <w:style w:customStyle="1" w:styleId="CommentTextChar" w:type="character">
    <w:name w:val="Comment Text Char"/>
    <w:basedOn w:val="DefaultParagraphFont"/>
    <w:link w:val="CommentText"/>
    <w:uiPriority w:val="99"/>
    <w:rsid w:val="006C391F"/>
    <w:rPr>
      <w:sz w:val="20"/>
      <w:szCs w:val="20"/>
    </w:rPr>
  </w:style>
  <w:style w:styleId="CommentSubject" w:type="paragraph">
    <w:name w:val="annotation subject"/>
    <w:basedOn w:val="CommentText"/>
    <w:next w:val="CommentText"/>
    <w:link w:val="CommentSubjectChar"/>
    <w:uiPriority w:val="99"/>
    <w:semiHidden/>
    <w:unhideWhenUsed/>
    <w:rsid w:val="006C391F"/>
    <w:rPr>
      <w:b/>
      <w:bCs/>
    </w:rPr>
  </w:style>
  <w:style w:customStyle="1" w:styleId="CommentSubjectChar" w:type="character">
    <w:name w:val="Comment Subject Char"/>
    <w:basedOn w:val="CommentTextChar"/>
    <w:link w:val="CommentSubject"/>
    <w:uiPriority w:val="99"/>
    <w:semiHidden/>
    <w:rsid w:val="006C391F"/>
    <w:rPr>
      <w:b/>
      <w:bCs/>
      <w:sz w:val="20"/>
      <w:szCs w:val="20"/>
    </w:rPr>
  </w:style>
  <w:style w:styleId="BalloonText" w:type="paragraph">
    <w:name w:val="Balloon Text"/>
    <w:basedOn w:val="Normal"/>
    <w:link w:val="BalloonTextChar"/>
    <w:uiPriority w:val="99"/>
    <w:semiHidden/>
    <w:unhideWhenUsed/>
    <w:rsid w:val="006C391F"/>
    <w:pPr>
      <w:spacing w:after="0"/>
    </w:pPr>
    <w:rPr>
      <w:rFonts w:ascii="Segoe UI" w:cs="Segoe UI" w:hAnsi="Segoe UI"/>
      <w:sz w:val="18"/>
      <w:szCs w:val="18"/>
    </w:rPr>
  </w:style>
  <w:style w:customStyle="1" w:styleId="BalloonTextChar" w:type="character">
    <w:name w:val="Balloon Text Char"/>
    <w:basedOn w:val="DefaultParagraphFont"/>
    <w:link w:val="BalloonText"/>
    <w:uiPriority w:val="99"/>
    <w:semiHidden/>
    <w:rsid w:val="006C391F"/>
    <w:rPr>
      <w:rFonts w:ascii="Segoe UI" w:cs="Segoe UI" w:hAnsi="Segoe UI"/>
      <w:sz w:val="18"/>
      <w:szCs w:val="18"/>
    </w:rPr>
  </w:style>
  <w:style w:styleId="Revision" w:type="paragraph">
    <w:name w:val="Revision"/>
    <w:hidden/>
    <w:uiPriority w:val="99"/>
    <w:semiHidden/>
    <w:rsid w:val="00DF7EE4"/>
    <w:pPr>
      <w:spacing w:after="0" w:line="240" w:lineRule="auto"/>
    </w:pPr>
  </w:style>
  <w:style w:styleId="UnresolvedMention" w:type="character">
    <w:name w:val="Unresolved Mention"/>
    <w:basedOn w:val="DefaultParagraphFont"/>
    <w:uiPriority w:val="99"/>
    <w:semiHidden/>
    <w:unhideWhenUsed/>
    <w:rsid w:val="00532636"/>
    <w:rPr>
      <w:color w:val="605E5C"/>
      <w:shd w:color="auto" w:fill="E1DFDD" w:val="clear"/>
    </w:rPr>
  </w:style>
  <w:style w:styleId="FollowedHyperlink" w:type="character">
    <w:name w:val="FollowedHyperlink"/>
    <w:basedOn w:val="DefaultParagraphFont"/>
    <w:uiPriority w:val="99"/>
    <w:semiHidden/>
    <w:unhideWhenUsed/>
    <w:rsid w:val="00D6555B"/>
    <w:rPr>
      <w:color w:themeColor="followedHyperlink" w:val="954F72"/>
      <w:u w:val="single"/>
    </w:rPr>
  </w:style>
  <w:style w:styleId="Header" w:type="paragraph">
    <w:name w:val="header"/>
    <w:basedOn w:val="Normal"/>
    <w:link w:val="HeaderChar"/>
    <w:uiPriority w:val="99"/>
    <w:unhideWhenUsed/>
    <w:rsid w:val="00FC0FCB"/>
    <w:pPr>
      <w:tabs>
        <w:tab w:pos="4680" w:val="center"/>
        <w:tab w:pos="9360" w:val="right"/>
      </w:tabs>
      <w:spacing w:after="0"/>
    </w:pPr>
  </w:style>
  <w:style w:customStyle="1" w:styleId="HeaderChar" w:type="character">
    <w:name w:val="Header Char"/>
    <w:basedOn w:val="DefaultParagraphFont"/>
    <w:link w:val="Header"/>
    <w:uiPriority w:val="99"/>
    <w:rsid w:val="00FC0FCB"/>
    <w:rPr>
      <w:sz w:val="20"/>
      <w:szCs w:val="20"/>
    </w:rPr>
  </w:style>
  <w:style w:styleId="Footer" w:type="paragraph">
    <w:name w:val="footer"/>
    <w:basedOn w:val="Normal"/>
    <w:link w:val="FooterChar"/>
    <w:uiPriority w:val="99"/>
    <w:unhideWhenUsed/>
    <w:rsid w:val="00FC0FCB"/>
    <w:pPr>
      <w:tabs>
        <w:tab w:pos="4680" w:val="center"/>
        <w:tab w:pos="9360" w:val="right"/>
      </w:tabs>
      <w:spacing w:after="0"/>
    </w:pPr>
  </w:style>
  <w:style w:customStyle="1" w:styleId="FooterChar" w:type="character">
    <w:name w:val="Footer Char"/>
    <w:basedOn w:val="DefaultParagraphFont"/>
    <w:link w:val="Footer"/>
    <w:uiPriority w:val="99"/>
    <w:rsid w:val="00FC0FCB"/>
    <w:rPr>
      <w:sz w:val="20"/>
      <w:szCs w:val="20"/>
    </w:rPr>
  </w:style>
  <w:style w:styleId="PageNumber" w:type="character">
    <w:name w:val="page number"/>
    <w:basedOn w:val="DefaultParagraphFont"/>
    <w:uiPriority w:val="99"/>
    <w:semiHidden/>
    <w:unhideWhenUsed/>
    <w:rsid w:val="00DC244E"/>
  </w:style>
  <w:style w:styleId="TableGrid" w:type="table">
    <w:name w:val="Table Grid"/>
    <w:basedOn w:val="TableNormal"/>
    <w:uiPriority w:val="59"/>
    <w:rsid w:val="005D74D2"/>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styleId="GridTable1Light-Accent1" w:type="table">
    <w:name w:val="Grid Table 1 Light Accent 1"/>
    <w:basedOn w:val="TableNormal"/>
    <w:uiPriority w:val="46"/>
    <w:rsid w:val="005D74D2"/>
    <w:pPr>
      <w:spacing w:after="0" w:line="240" w:lineRule="auto"/>
    </w:pPr>
    <w:tblPr>
      <w:tblStyleRowBandSize w:val="1"/>
      <w:tblStyleColBandSize w:val="1"/>
      <w:tblBorders>
        <w:top w:color="B4C6E7" w:space="0" w:sz="4" w:themeColor="accent1" w:themeTint="66" w:val="single"/>
        <w:left w:color="B4C6E7" w:space="0" w:sz="4" w:themeColor="accent1" w:themeTint="66" w:val="single"/>
        <w:bottom w:color="B4C6E7" w:space="0" w:sz="4" w:themeColor="accent1" w:themeTint="66" w:val="single"/>
        <w:right w:color="B4C6E7" w:space="0" w:sz="4" w:themeColor="accent1" w:themeTint="66" w:val="single"/>
        <w:insideH w:color="B4C6E7" w:space="0" w:sz="4" w:themeColor="accent1" w:themeTint="66" w:val="single"/>
        <w:insideV w:color="B4C6E7" w:space="0" w:sz="4" w:themeColor="accent1" w:themeTint="66" w:val="single"/>
      </w:tblBorders>
    </w:tblPr>
    <w:tblStylePr w:type="firstRow">
      <w:rPr>
        <w:b/>
        <w:bCs/>
      </w:rPr>
      <w:tblPr/>
      <w:tcPr>
        <w:tcBorders>
          <w:bottom w:color="8EAADB" w:space="0" w:sz="12" w:themeColor="accent1" w:themeTint="99" w:val="single"/>
        </w:tcBorders>
      </w:tcPr>
    </w:tblStylePr>
    <w:tblStylePr w:type="lastRow">
      <w:rPr>
        <w:b/>
        <w:bCs/>
      </w:rPr>
      <w:tblPr/>
      <w:tcPr>
        <w:tcBorders>
          <w:top w:color="8EAADB" w:space="0" w:sz="2" w:themeColor="accent1" w:themeTint="99" w:val="double"/>
        </w:tcBorders>
      </w:tcPr>
    </w:tblStylePr>
    <w:tblStylePr w:type="firstCol">
      <w:rPr>
        <w:b/>
        <w:bCs/>
      </w:rPr>
    </w:tblStylePr>
    <w:tblStylePr w:type="lastCol">
      <w:rPr>
        <w:b/>
        <w:bCs/>
      </w:rPr>
    </w:tblStylePr>
  </w:style>
  <w:style w:styleId="GridTable1Light" w:type="table">
    <w:name w:val="Grid Table 1 Light"/>
    <w:basedOn w:val="TableNormal"/>
    <w:uiPriority w:val="46"/>
    <w:rsid w:val="00AD25F2"/>
    <w:pPr>
      <w:spacing w:after="0" w:line="240" w:lineRule="auto"/>
    </w:pPr>
    <w:tblPr>
      <w:tblStyleRowBandSize w:val="1"/>
      <w:tblStyleColBandSize w:val="1"/>
      <w:tblBorders>
        <w:top w:color="999999" w:space="0" w:sz="4" w:themeColor="text1" w:themeTint="66" w:val="single"/>
        <w:left w:color="999999" w:space="0" w:sz="4" w:themeColor="text1" w:themeTint="66" w:val="single"/>
        <w:bottom w:color="999999" w:space="0" w:sz="4" w:themeColor="text1" w:themeTint="66" w:val="single"/>
        <w:right w:color="999999" w:space="0" w:sz="4" w:themeColor="text1" w:themeTint="66" w:val="single"/>
        <w:insideH w:color="999999" w:space="0" w:sz="4" w:themeColor="text1" w:themeTint="66" w:val="single"/>
        <w:insideV w:color="999999" w:space="0" w:sz="4" w:themeColor="text1" w:themeTint="66" w:val="single"/>
      </w:tblBorders>
    </w:tblPr>
    <w:tblStylePr w:type="firstRow">
      <w:rPr>
        <w:b/>
        <w:bCs/>
      </w:rPr>
      <w:tblPr/>
      <w:tcPr>
        <w:tcBorders>
          <w:bottom w:color="666666" w:space="0" w:sz="12" w:themeColor="text1" w:themeTint="99" w:val="single"/>
        </w:tcBorders>
      </w:tcPr>
    </w:tblStylePr>
    <w:tblStylePr w:type="lastRow">
      <w:rPr>
        <w:b/>
        <w:bCs/>
      </w:rPr>
      <w:tblPr/>
      <w:tcPr>
        <w:tcBorders>
          <w:top w:color="666666" w:space="0" w:sz="2" w:themeColor="text1" w:themeTint="99" w:val="double"/>
        </w:tcBorders>
      </w:tcPr>
    </w:tblStylePr>
    <w:tblStylePr w:type="firstCol">
      <w:rPr>
        <w:b/>
        <w:bCs/>
      </w:rPr>
    </w:tblStylePr>
    <w:tblStylePr w:type="lastCol">
      <w:rPr>
        <w:b/>
        <w:bCs/>
      </w:rPr>
    </w:tblStylePr>
  </w:style>
  <w:style w:customStyle="1" w:styleId="normaltextrun" w:type="character">
    <w:name w:val="normaltextrun"/>
    <w:basedOn w:val="DefaultParagraphFont"/>
    <w:rsid w:val="00755A94"/>
  </w:style>
  <w:style w:customStyle="1" w:styleId="eop" w:type="character">
    <w:name w:val="eop"/>
    <w:basedOn w:val="DefaultParagraphFont"/>
    <w:rsid w:val="00755A94"/>
  </w:style>
  <w:style w:customStyle="1" w:styleId="Heading2Char" w:type="character">
    <w:name w:val="Heading 2 Char"/>
    <w:basedOn w:val="DefaultParagraphFont"/>
    <w:link w:val="Heading2"/>
    <w:uiPriority w:val="9"/>
    <w:rsid w:val="00DB05A3"/>
    <w:rPr>
      <w:b/>
      <w:bCs/>
      <w:sz w:val="24"/>
      <w:szCs w:val="24"/>
    </w:rPr>
  </w:style>
  <w:style w:customStyle="1" w:styleId="Heading4Char" w:type="character">
    <w:name w:val="Heading 4 Char"/>
    <w:basedOn w:val="DefaultParagraphFont"/>
    <w:link w:val="Heading4"/>
    <w:uiPriority w:val="9"/>
    <w:rsid w:val="00A71D6C"/>
    <w:rPr>
      <w:b/>
      <w:bCs/>
      <w:color w:val="16191F"/>
      <w:sz w:val="20"/>
      <w:szCs w:val="20"/>
    </w:rPr>
  </w:style>
  <w:style w:customStyle="1" w:styleId="Heading5Char" w:type="character">
    <w:name w:val="Heading 5 Char"/>
    <w:basedOn w:val="DefaultParagraphFont"/>
    <w:link w:val="Heading5"/>
    <w:uiPriority w:val="9"/>
    <w:rsid w:val="00A06B39"/>
    <w:rPr>
      <w:rFonts w:asciiTheme="majorHAnsi" w:cstheme="majorBidi" w:eastAsiaTheme="majorEastAsia" w:hAnsiTheme="majorHAnsi"/>
      <w:color w:themeColor="accent1" w:themeShade="BF" w:val="2F5496"/>
      <w:sz w:val="20"/>
      <w:szCs w:val="20"/>
    </w:rPr>
  </w:style>
  <w:style w:styleId="NormalWeb" w:type="paragraph">
    <w:name w:val="Normal (Web)"/>
    <w:basedOn w:val="Normal"/>
    <w:uiPriority w:val="99"/>
    <w:semiHidden/>
    <w:unhideWhenUsed/>
    <w:rsid w:val="00212B0E"/>
    <w:rPr>
      <w:rFonts w:ascii="Times New Roman" w:cs="Times New Roman" w:hAnsi="Times New Roman"/>
      <w:sz w:val="24"/>
      <w:szCs w:val="24"/>
    </w:rPr>
  </w:style>
  <w:style w:styleId="FootnoteText" w:type="paragraph">
    <w:name w:val="footnote text"/>
    <w:basedOn w:val="Normal"/>
    <w:link w:val="FootnoteTextChar"/>
    <w:uiPriority w:val="99"/>
    <w:semiHidden/>
    <w:unhideWhenUsed/>
    <w:rsid w:val="00D22053"/>
    <w:pPr>
      <w:spacing w:after="0"/>
    </w:pPr>
  </w:style>
  <w:style w:customStyle="1" w:styleId="FootnoteTextChar" w:type="character">
    <w:name w:val="Footnote Text Char"/>
    <w:basedOn w:val="DefaultParagraphFont"/>
    <w:link w:val="FootnoteText"/>
    <w:uiPriority w:val="99"/>
    <w:semiHidden/>
    <w:rsid w:val="00D22053"/>
    <w:rPr>
      <w:color w:val="16191F"/>
      <w:sz w:val="20"/>
      <w:szCs w:val="20"/>
    </w:rPr>
  </w:style>
  <w:style w:styleId="FootnoteReference" w:type="character">
    <w:name w:val="footnote reference"/>
    <w:basedOn w:val="DefaultParagraphFont"/>
    <w:uiPriority w:val="99"/>
    <w:semiHidden/>
    <w:unhideWhenUsed/>
    <w:rsid w:val="00D22053"/>
    <w:rPr>
      <w:vertAlign w:val="superscript"/>
    </w:rPr>
  </w:style>
  <w:style w:customStyle="1" w:styleId="CurrentList1" w:type="numbering">
    <w:name w:val="Current List1"/>
    <w:uiPriority w:val="99"/>
    <w:rsid w:val="00472D82"/>
    <w:pPr>
      <w:numPr>
        <w:numId w:val="72"/>
      </w:numPr>
    </w:pPr>
  </w:style>
  <w:style w:styleId="HTMLCode" w:type="character">
    <w:name w:val="HTML Code"/>
    <w:basedOn w:val="DefaultParagraphFont"/>
    <w:uiPriority w:val="99"/>
    <w:semiHidden/>
    <w:unhideWhenUsed/>
    <w:rsid w:val="007B40FD"/>
    <w:rPr>
      <w:rFonts w:ascii="Courier New" w:cs="Courier New" w:eastAsia="Times New Roman" w:hAnsi="Courier New"/>
      <w:sz w:val="20"/>
      <w:szCs w:val="20"/>
    </w:rPr>
  </w:style>
  <w:style w:customStyle="1" w:styleId="Heading1Char" w:type="character">
    <w:name w:val="Heading 1 Char"/>
    <w:basedOn w:val="DefaultParagraphFont"/>
    <w:link w:val="Heading1"/>
    <w:uiPriority w:val="9"/>
    <w:rsid w:val="00E72A96"/>
    <w:rPr>
      <w:rFonts w:asciiTheme="majorHAnsi" w:cstheme="majorBidi" w:eastAsiaTheme="majorEastAsia" w:hAnsiTheme="majorHAnsi"/>
      <w:b/>
      <w:color w:themeColor="text1" w:val="000000"/>
      <w:sz w:val="28"/>
      <w:szCs w:val="32"/>
    </w:rPr>
  </w:style>
  <w:style w:styleId="TableGridLight" w:type="table">
    <w:name w:val="Grid Table Light"/>
    <w:basedOn w:val="TableNormal"/>
    <w:uiPriority w:val="40"/>
    <w:rsid w:val="0008506C"/>
    <w:pPr>
      <w:spacing w:after="0" w:line="240" w:lineRule="auto"/>
    </w:pPr>
    <w:tblPr>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278">
      <w:bodyDiv w:val="1"/>
      <w:marLeft w:val="0"/>
      <w:marRight w:val="0"/>
      <w:marTop w:val="0"/>
      <w:marBottom w:val="0"/>
      <w:divBdr>
        <w:top w:val="none" w:sz="0" w:space="0" w:color="auto"/>
        <w:left w:val="none" w:sz="0" w:space="0" w:color="auto"/>
        <w:bottom w:val="none" w:sz="0" w:space="0" w:color="auto"/>
        <w:right w:val="none" w:sz="0" w:space="0" w:color="auto"/>
      </w:divBdr>
    </w:div>
    <w:div w:id="21977229">
      <w:bodyDiv w:val="1"/>
      <w:marLeft w:val="0"/>
      <w:marRight w:val="0"/>
      <w:marTop w:val="0"/>
      <w:marBottom w:val="0"/>
      <w:divBdr>
        <w:top w:val="none" w:sz="0" w:space="0" w:color="auto"/>
        <w:left w:val="none" w:sz="0" w:space="0" w:color="auto"/>
        <w:bottom w:val="none" w:sz="0" w:space="0" w:color="auto"/>
        <w:right w:val="none" w:sz="0" w:space="0" w:color="auto"/>
      </w:divBdr>
    </w:div>
    <w:div w:id="27923563">
      <w:bodyDiv w:val="1"/>
      <w:marLeft w:val="0"/>
      <w:marRight w:val="0"/>
      <w:marTop w:val="0"/>
      <w:marBottom w:val="0"/>
      <w:divBdr>
        <w:top w:val="none" w:sz="0" w:space="0" w:color="auto"/>
        <w:left w:val="none" w:sz="0" w:space="0" w:color="auto"/>
        <w:bottom w:val="none" w:sz="0" w:space="0" w:color="auto"/>
        <w:right w:val="none" w:sz="0" w:space="0" w:color="auto"/>
      </w:divBdr>
    </w:div>
    <w:div w:id="38240095">
      <w:bodyDiv w:val="1"/>
      <w:marLeft w:val="0"/>
      <w:marRight w:val="0"/>
      <w:marTop w:val="0"/>
      <w:marBottom w:val="0"/>
      <w:divBdr>
        <w:top w:val="none" w:sz="0" w:space="0" w:color="auto"/>
        <w:left w:val="none" w:sz="0" w:space="0" w:color="auto"/>
        <w:bottom w:val="none" w:sz="0" w:space="0" w:color="auto"/>
        <w:right w:val="none" w:sz="0" w:space="0" w:color="auto"/>
      </w:divBdr>
    </w:div>
    <w:div w:id="40174132">
      <w:bodyDiv w:val="1"/>
      <w:marLeft w:val="0"/>
      <w:marRight w:val="0"/>
      <w:marTop w:val="0"/>
      <w:marBottom w:val="0"/>
      <w:divBdr>
        <w:top w:val="none" w:sz="0" w:space="0" w:color="auto"/>
        <w:left w:val="none" w:sz="0" w:space="0" w:color="auto"/>
        <w:bottom w:val="none" w:sz="0" w:space="0" w:color="auto"/>
        <w:right w:val="none" w:sz="0" w:space="0" w:color="auto"/>
      </w:divBdr>
    </w:div>
    <w:div w:id="47531064">
      <w:bodyDiv w:val="1"/>
      <w:marLeft w:val="0"/>
      <w:marRight w:val="0"/>
      <w:marTop w:val="0"/>
      <w:marBottom w:val="0"/>
      <w:divBdr>
        <w:top w:val="none" w:sz="0" w:space="0" w:color="auto"/>
        <w:left w:val="none" w:sz="0" w:space="0" w:color="auto"/>
        <w:bottom w:val="none" w:sz="0" w:space="0" w:color="auto"/>
        <w:right w:val="none" w:sz="0" w:space="0" w:color="auto"/>
      </w:divBdr>
    </w:div>
    <w:div w:id="68574847">
      <w:bodyDiv w:val="1"/>
      <w:marLeft w:val="0"/>
      <w:marRight w:val="0"/>
      <w:marTop w:val="0"/>
      <w:marBottom w:val="0"/>
      <w:divBdr>
        <w:top w:val="none" w:sz="0" w:space="0" w:color="auto"/>
        <w:left w:val="none" w:sz="0" w:space="0" w:color="auto"/>
        <w:bottom w:val="none" w:sz="0" w:space="0" w:color="auto"/>
        <w:right w:val="none" w:sz="0" w:space="0" w:color="auto"/>
      </w:divBdr>
    </w:div>
    <w:div w:id="72044181">
      <w:bodyDiv w:val="1"/>
      <w:marLeft w:val="0"/>
      <w:marRight w:val="0"/>
      <w:marTop w:val="0"/>
      <w:marBottom w:val="0"/>
      <w:divBdr>
        <w:top w:val="none" w:sz="0" w:space="0" w:color="auto"/>
        <w:left w:val="none" w:sz="0" w:space="0" w:color="auto"/>
        <w:bottom w:val="none" w:sz="0" w:space="0" w:color="auto"/>
        <w:right w:val="none" w:sz="0" w:space="0" w:color="auto"/>
      </w:divBdr>
    </w:div>
    <w:div w:id="90514939">
      <w:bodyDiv w:val="1"/>
      <w:marLeft w:val="0"/>
      <w:marRight w:val="0"/>
      <w:marTop w:val="0"/>
      <w:marBottom w:val="0"/>
      <w:divBdr>
        <w:top w:val="none" w:sz="0" w:space="0" w:color="auto"/>
        <w:left w:val="none" w:sz="0" w:space="0" w:color="auto"/>
        <w:bottom w:val="none" w:sz="0" w:space="0" w:color="auto"/>
        <w:right w:val="none" w:sz="0" w:space="0" w:color="auto"/>
      </w:divBdr>
    </w:div>
    <w:div w:id="92434527">
      <w:bodyDiv w:val="1"/>
      <w:marLeft w:val="0"/>
      <w:marRight w:val="0"/>
      <w:marTop w:val="0"/>
      <w:marBottom w:val="0"/>
      <w:divBdr>
        <w:top w:val="none" w:sz="0" w:space="0" w:color="auto"/>
        <w:left w:val="none" w:sz="0" w:space="0" w:color="auto"/>
        <w:bottom w:val="none" w:sz="0" w:space="0" w:color="auto"/>
        <w:right w:val="none" w:sz="0" w:space="0" w:color="auto"/>
      </w:divBdr>
    </w:div>
    <w:div w:id="106508336">
      <w:bodyDiv w:val="1"/>
      <w:marLeft w:val="0"/>
      <w:marRight w:val="0"/>
      <w:marTop w:val="0"/>
      <w:marBottom w:val="0"/>
      <w:divBdr>
        <w:top w:val="none" w:sz="0" w:space="0" w:color="auto"/>
        <w:left w:val="none" w:sz="0" w:space="0" w:color="auto"/>
        <w:bottom w:val="none" w:sz="0" w:space="0" w:color="auto"/>
        <w:right w:val="none" w:sz="0" w:space="0" w:color="auto"/>
      </w:divBdr>
      <w:divsChild>
        <w:div w:id="1736199190">
          <w:marLeft w:val="0"/>
          <w:marRight w:val="0"/>
          <w:marTop w:val="0"/>
          <w:marBottom w:val="0"/>
          <w:divBdr>
            <w:top w:val="none" w:sz="0" w:space="0" w:color="auto"/>
            <w:left w:val="none" w:sz="0" w:space="0" w:color="auto"/>
            <w:bottom w:val="none" w:sz="0" w:space="0" w:color="auto"/>
            <w:right w:val="none" w:sz="0" w:space="0" w:color="auto"/>
          </w:divBdr>
          <w:divsChild>
            <w:div w:id="874543579">
              <w:marLeft w:val="0"/>
              <w:marRight w:val="0"/>
              <w:marTop w:val="0"/>
              <w:marBottom w:val="0"/>
              <w:divBdr>
                <w:top w:val="none" w:sz="0" w:space="0" w:color="auto"/>
                <w:left w:val="none" w:sz="0" w:space="0" w:color="auto"/>
                <w:bottom w:val="none" w:sz="0" w:space="0" w:color="auto"/>
                <w:right w:val="none" w:sz="0" w:space="0" w:color="auto"/>
              </w:divBdr>
              <w:divsChild>
                <w:div w:id="1679187279">
                  <w:marLeft w:val="0"/>
                  <w:marRight w:val="0"/>
                  <w:marTop w:val="0"/>
                  <w:marBottom w:val="0"/>
                  <w:divBdr>
                    <w:top w:val="none" w:sz="0" w:space="0" w:color="auto"/>
                    <w:left w:val="none" w:sz="0" w:space="0" w:color="auto"/>
                    <w:bottom w:val="none" w:sz="0" w:space="0" w:color="auto"/>
                    <w:right w:val="none" w:sz="0" w:space="0" w:color="auto"/>
                  </w:divBdr>
                  <w:divsChild>
                    <w:div w:id="407922201">
                      <w:marLeft w:val="0"/>
                      <w:marRight w:val="0"/>
                      <w:marTop w:val="0"/>
                      <w:marBottom w:val="0"/>
                      <w:divBdr>
                        <w:top w:val="none" w:sz="0" w:space="0" w:color="auto"/>
                        <w:left w:val="none" w:sz="0" w:space="0" w:color="auto"/>
                        <w:bottom w:val="none" w:sz="0" w:space="0" w:color="auto"/>
                        <w:right w:val="none" w:sz="0" w:space="0" w:color="auto"/>
                      </w:divBdr>
                      <w:divsChild>
                        <w:div w:id="1379744649">
                          <w:marLeft w:val="0"/>
                          <w:marRight w:val="0"/>
                          <w:marTop w:val="0"/>
                          <w:marBottom w:val="0"/>
                          <w:divBdr>
                            <w:top w:val="none" w:sz="0" w:space="0" w:color="auto"/>
                            <w:left w:val="none" w:sz="0" w:space="0" w:color="auto"/>
                            <w:bottom w:val="none" w:sz="0" w:space="0" w:color="auto"/>
                            <w:right w:val="none" w:sz="0" w:space="0" w:color="auto"/>
                          </w:divBdr>
                          <w:divsChild>
                            <w:div w:id="316808756">
                              <w:marLeft w:val="-240"/>
                              <w:marRight w:val="-120"/>
                              <w:marTop w:val="0"/>
                              <w:marBottom w:val="0"/>
                              <w:divBdr>
                                <w:top w:val="none" w:sz="0" w:space="0" w:color="auto"/>
                                <w:left w:val="none" w:sz="0" w:space="0" w:color="auto"/>
                                <w:bottom w:val="none" w:sz="0" w:space="0" w:color="auto"/>
                                <w:right w:val="none" w:sz="0" w:space="0" w:color="auto"/>
                              </w:divBdr>
                              <w:divsChild>
                                <w:div w:id="1264650918">
                                  <w:marLeft w:val="0"/>
                                  <w:marRight w:val="0"/>
                                  <w:marTop w:val="0"/>
                                  <w:marBottom w:val="60"/>
                                  <w:divBdr>
                                    <w:top w:val="none" w:sz="0" w:space="0" w:color="auto"/>
                                    <w:left w:val="none" w:sz="0" w:space="0" w:color="auto"/>
                                    <w:bottom w:val="none" w:sz="0" w:space="0" w:color="auto"/>
                                    <w:right w:val="none" w:sz="0" w:space="0" w:color="auto"/>
                                  </w:divBdr>
                                  <w:divsChild>
                                    <w:div w:id="163474021">
                                      <w:marLeft w:val="0"/>
                                      <w:marRight w:val="0"/>
                                      <w:marTop w:val="0"/>
                                      <w:marBottom w:val="0"/>
                                      <w:divBdr>
                                        <w:top w:val="none" w:sz="0" w:space="0" w:color="auto"/>
                                        <w:left w:val="none" w:sz="0" w:space="0" w:color="auto"/>
                                        <w:bottom w:val="none" w:sz="0" w:space="0" w:color="auto"/>
                                        <w:right w:val="none" w:sz="0" w:space="0" w:color="auto"/>
                                      </w:divBdr>
                                      <w:divsChild>
                                        <w:div w:id="1139766107">
                                          <w:marLeft w:val="0"/>
                                          <w:marRight w:val="0"/>
                                          <w:marTop w:val="0"/>
                                          <w:marBottom w:val="0"/>
                                          <w:divBdr>
                                            <w:top w:val="none" w:sz="0" w:space="0" w:color="auto"/>
                                            <w:left w:val="none" w:sz="0" w:space="0" w:color="auto"/>
                                            <w:bottom w:val="none" w:sz="0" w:space="0" w:color="auto"/>
                                            <w:right w:val="none" w:sz="0" w:space="0" w:color="auto"/>
                                          </w:divBdr>
                                          <w:divsChild>
                                            <w:div w:id="1649823531">
                                              <w:marLeft w:val="0"/>
                                              <w:marRight w:val="0"/>
                                              <w:marTop w:val="0"/>
                                              <w:marBottom w:val="0"/>
                                              <w:divBdr>
                                                <w:top w:val="none" w:sz="0" w:space="0" w:color="auto"/>
                                                <w:left w:val="none" w:sz="0" w:space="0" w:color="auto"/>
                                                <w:bottom w:val="none" w:sz="0" w:space="0" w:color="auto"/>
                                                <w:right w:val="none" w:sz="0" w:space="0" w:color="auto"/>
                                              </w:divBdr>
                                              <w:divsChild>
                                                <w:div w:id="209932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67989">
          <w:marLeft w:val="0"/>
          <w:marRight w:val="0"/>
          <w:marTop w:val="0"/>
          <w:marBottom w:val="0"/>
          <w:divBdr>
            <w:top w:val="none" w:sz="0" w:space="0" w:color="auto"/>
            <w:left w:val="none" w:sz="0" w:space="0" w:color="auto"/>
            <w:bottom w:val="none" w:sz="0" w:space="0" w:color="auto"/>
            <w:right w:val="none" w:sz="0" w:space="0" w:color="auto"/>
          </w:divBdr>
          <w:divsChild>
            <w:div w:id="532613204">
              <w:marLeft w:val="0"/>
              <w:marRight w:val="0"/>
              <w:marTop w:val="0"/>
              <w:marBottom w:val="0"/>
              <w:divBdr>
                <w:top w:val="none" w:sz="0" w:space="0" w:color="auto"/>
                <w:left w:val="none" w:sz="0" w:space="0" w:color="auto"/>
                <w:bottom w:val="none" w:sz="0" w:space="0" w:color="auto"/>
                <w:right w:val="none" w:sz="0" w:space="0" w:color="auto"/>
              </w:divBdr>
              <w:divsChild>
                <w:div w:id="1718972468">
                  <w:marLeft w:val="0"/>
                  <w:marRight w:val="0"/>
                  <w:marTop w:val="0"/>
                  <w:marBottom w:val="0"/>
                  <w:divBdr>
                    <w:top w:val="none" w:sz="0" w:space="0" w:color="auto"/>
                    <w:left w:val="none" w:sz="0" w:space="0" w:color="auto"/>
                    <w:bottom w:val="none" w:sz="0" w:space="0" w:color="auto"/>
                    <w:right w:val="none" w:sz="0" w:space="0" w:color="auto"/>
                  </w:divBdr>
                  <w:divsChild>
                    <w:div w:id="432626697">
                      <w:marLeft w:val="0"/>
                      <w:marRight w:val="0"/>
                      <w:marTop w:val="0"/>
                      <w:marBottom w:val="0"/>
                      <w:divBdr>
                        <w:top w:val="none" w:sz="0" w:space="0" w:color="auto"/>
                        <w:left w:val="none" w:sz="0" w:space="0" w:color="auto"/>
                        <w:bottom w:val="none" w:sz="0" w:space="0" w:color="auto"/>
                        <w:right w:val="none" w:sz="0" w:space="0" w:color="auto"/>
                      </w:divBdr>
                      <w:divsChild>
                        <w:div w:id="1950963966">
                          <w:marLeft w:val="0"/>
                          <w:marRight w:val="0"/>
                          <w:marTop w:val="0"/>
                          <w:marBottom w:val="0"/>
                          <w:divBdr>
                            <w:top w:val="none" w:sz="0" w:space="0" w:color="auto"/>
                            <w:left w:val="none" w:sz="0" w:space="0" w:color="auto"/>
                            <w:bottom w:val="none" w:sz="0" w:space="0" w:color="auto"/>
                            <w:right w:val="none" w:sz="0" w:space="0" w:color="auto"/>
                          </w:divBdr>
                          <w:divsChild>
                            <w:div w:id="196519094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358021">
      <w:bodyDiv w:val="1"/>
      <w:marLeft w:val="0"/>
      <w:marRight w:val="0"/>
      <w:marTop w:val="0"/>
      <w:marBottom w:val="0"/>
      <w:divBdr>
        <w:top w:val="none" w:sz="0" w:space="0" w:color="auto"/>
        <w:left w:val="none" w:sz="0" w:space="0" w:color="auto"/>
        <w:bottom w:val="none" w:sz="0" w:space="0" w:color="auto"/>
        <w:right w:val="none" w:sz="0" w:space="0" w:color="auto"/>
      </w:divBdr>
    </w:div>
    <w:div w:id="109983554">
      <w:bodyDiv w:val="1"/>
      <w:marLeft w:val="0"/>
      <w:marRight w:val="0"/>
      <w:marTop w:val="0"/>
      <w:marBottom w:val="0"/>
      <w:divBdr>
        <w:top w:val="none" w:sz="0" w:space="0" w:color="auto"/>
        <w:left w:val="none" w:sz="0" w:space="0" w:color="auto"/>
        <w:bottom w:val="none" w:sz="0" w:space="0" w:color="auto"/>
        <w:right w:val="none" w:sz="0" w:space="0" w:color="auto"/>
      </w:divBdr>
    </w:div>
    <w:div w:id="111553862">
      <w:bodyDiv w:val="1"/>
      <w:marLeft w:val="0"/>
      <w:marRight w:val="0"/>
      <w:marTop w:val="0"/>
      <w:marBottom w:val="0"/>
      <w:divBdr>
        <w:top w:val="none" w:sz="0" w:space="0" w:color="auto"/>
        <w:left w:val="none" w:sz="0" w:space="0" w:color="auto"/>
        <w:bottom w:val="none" w:sz="0" w:space="0" w:color="auto"/>
        <w:right w:val="none" w:sz="0" w:space="0" w:color="auto"/>
      </w:divBdr>
    </w:div>
    <w:div w:id="122508671">
      <w:bodyDiv w:val="1"/>
      <w:marLeft w:val="0"/>
      <w:marRight w:val="0"/>
      <w:marTop w:val="0"/>
      <w:marBottom w:val="0"/>
      <w:divBdr>
        <w:top w:val="none" w:sz="0" w:space="0" w:color="auto"/>
        <w:left w:val="none" w:sz="0" w:space="0" w:color="auto"/>
        <w:bottom w:val="none" w:sz="0" w:space="0" w:color="auto"/>
        <w:right w:val="none" w:sz="0" w:space="0" w:color="auto"/>
      </w:divBdr>
    </w:div>
    <w:div w:id="123083954">
      <w:bodyDiv w:val="1"/>
      <w:marLeft w:val="0"/>
      <w:marRight w:val="0"/>
      <w:marTop w:val="0"/>
      <w:marBottom w:val="0"/>
      <w:divBdr>
        <w:top w:val="none" w:sz="0" w:space="0" w:color="auto"/>
        <w:left w:val="none" w:sz="0" w:space="0" w:color="auto"/>
        <w:bottom w:val="none" w:sz="0" w:space="0" w:color="auto"/>
        <w:right w:val="none" w:sz="0" w:space="0" w:color="auto"/>
      </w:divBdr>
    </w:div>
    <w:div w:id="127625350">
      <w:bodyDiv w:val="1"/>
      <w:marLeft w:val="0"/>
      <w:marRight w:val="0"/>
      <w:marTop w:val="0"/>
      <w:marBottom w:val="0"/>
      <w:divBdr>
        <w:top w:val="none" w:sz="0" w:space="0" w:color="auto"/>
        <w:left w:val="none" w:sz="0" w:space="0" w:color="auto"/>
        <w:bottom w:val="none" w:sz="0" w:space="0" w:color="auto"/>
        <w:right w:val="none" w:sz="0" w:space="0" w:color="auto"/>
      </w:divBdr>
    </w:div>
    <w:div w:id="133566073">
      <w:bodyDiv w:val="1"/>
      <w:marLeft w:val="0"/>
      <w:marRight w:val="0"/>
      <w:marTop w:val="0"/>
      <w:marBottom w:val="0"/>
      <w:divBdr>
        <w:top w:val="none" w:sz="0" w:space="0" w:color="auto"/>
        <w:left w:val="none" w:sz="0" w:space="0" w:color="auto"/>
        <w:bottom w:val="none" w:sz="0" w:space="0" w:color="auto"/>
        <w:right w:val="none" w:sz="0" w:space="0" w:color="auto"/>
      </w:divBdr>
    </w:div>
    <w:div w:id="173347843">
      <w:bodyDiv w:val="1"/>
      <w:marLeft w:val="0"/>
      <w:marRight w:val="0"/>
      <w:marTop w:val="0"/>
      <w:marBottom w:val="0"/>
      <w:divBdr>
        <w:top w:val="none" w:sz="0" w:space="0" w:color="auto"/>
        <w:left w:val="none" w:sz="0" w:space="0" w:color="auto"/>
        <w:bottom w:val="none" w:sz="0" w:space="0" w:color="auto"/>
        <w:right w:val="none" w:sz="0" w:space="0" w:color="auto"/>
      </w:divBdr>
    </w:div>
    <w:div w:id="200286878">
      <w:bodyDiv w:val="1"/>
      <w:marLeft w:val="0"/>
      <w:marRight w:val="0"/>
      <w:marTop w:val="0"/>
      <w:marBottom w:val="0"/>
      <w:divBdr>
        <w:top w:val="none" w:sz="0" w:space="0" w:color="auto"/>
        <w:left w:val="none" w:sz="0" w:space="0" w:color="auto"/>
        <w:bottom w:val="none" w:sz="0" w:space="0" w:color="auto"/>
        <w:right w:val="none" w:sz="0" w:space="0" w:color="auto"/>
      </w:divBdr>
    </w:div>
    <w:div w:id="216400988">
      <w:bodyDiv w:val="1"/>
      <w:marLeft w:val="0"/>
      <w:marRight w:val="0"/>
      <w:marTop w:val="0"/>
      <w:marBottom w:val="0"/>
      <w:divBdr>
        <w:top w:val="none" w:sz="0" w:space="0" w:color="auto"/>
        <w:left w:val="none" w:sz="0" w:space="0" w:color="auto"/>
        <w:bottom w:val="none" w:sz="0" w:space="0" w:color="auto"/>
        <w:right w:val="none" w:sz="0" w:space="0" w:color="auto"/>
      </w:divBdr>
    </w:div>
    <w:div w:id="218176185">
      <w:bodyDiv w:val="1"/>
      <w:marLeft w:val="0"/>
      <w:marRight w:val="0"/>
      <w:marTop w:val="0"/>
      <w:marBottom w:val="0"/>
      <w:divBdr>
        <w:top w:val="none" w:sz="0" w:space="0" w:color="auto"/>
        <w:left w:val="none" w:sz="0" w:space="0" w:color="auto"/>
        <w:bottom w:val="none" w:sz="0" w:space="0" w:color="auto"/>
        <w:right w:val="none" w:sz="0" w:space="0" w:color="auto"/>
      </w:divBdr>
    </w:div>
    <w:div w:id="250823565">
      <w:bodyDiv w:val="1"/>
      <w:marLeft w:val="0"/>
      <w:marRight w:val="0"/>
      <w:marTop w:val="0"/>
      <w:marBottom w:val="0"/>
      <w:divBdr>
        <w:top w:val="none" w:sz="0" w:space="0" w:color="auto"/>
        <w:left w:val="none" w:sz="0" w:space="0" w:color="auto"/>
        <w:bottom w:val="none" w:sz="0" w:space="0" w:color="auto"/>
        <w:right w:val="none" w:sz="0" w:space="0" w:color="auto"/>
      </w:divBdr>
    </w:div>
    <w:div w:id="264579260">
      <w:bodyDiv w:val="1"/>
      <w:marLeft w:val="0"/>
      <w:marRight w:val="0"/>
      <w:marTop w:val="0"/>
      <w:marBottom w:val="0"/>
      <w:divBdr>
        <w:top w:val="none" w:sz="0" w:space="0" w:color="auto"/>
        <w:left w:val="none" w:sz="0" w:space="0" w:color="auto"/>
        <w:bottom w:val="none" w:sz="0" w:space="0" w:color="auto"/>
        <w:right w:val="none" w:sz="0" w:space="0" w:color="auto"/>
      </w:divBdr>
    </w:div>
    <w:div w:id="285817844">
      <w:bodyDiv w:val="1"/>
      <w:marLeft w:val="0"/>
      <w:marRight w:val="0"/>
      <w:marTop w:val="0"/>
      <w:marBottom w:val="0"/>
      <w:divBdr>
        <w:top w:val="none" w:sz="0" w:space="0" w:color="auto"/>
        <w:left w:val="none" w:sz="0" w:space="0" w:color="auto"/>
        <w:bottom w:val="none" w:sz="0" w:space="0" w:color="auto"/>
        <w:right w:val="none" w:sz="0" w:space="0" w:color="auto"/>
      </w:divBdr>
    </w:div>
    <w:div w:id="287318006">
      <w:bodyDiv w:val="1"/>
      <w:marLeft w:val="0"/>
      <w:marRight w:val="0"/>
      <w:marTop w:val="0"/>
      <w:marBottom w:val="0"/>
      <w:divBdr>
        <w:top w:val="none" w:sz="0" w:space="0" w:color="auto"/>
        <w:left w:val="none" w:sz="0" w:space="0" w:color="auto"/>
        <w:bottom w:val="none" w:sz="0" w:space="0" w:color="auto"/>
        <w:right w:val="none" w:sz="0" w:space="0" w:color="auto"/>
      </w:divBdr>
    </w:div>
    <w:div w:id="291057029">
      <w:bodyDiv w:val="1"/>
      <w:marLeft w:val="0"/>
      <w:marRight w:val="0"/>
      <w:marTop w:val="0"/>
      <w:marBottom w:val="0"/>
      <w:divBdr>
        <w:top w:val="none" w:sz="0" w:space="0" w:color="auto"/>
        <w:left w:val="none" w:sz="0" w:space="0" w:color="auto"/>
        <w:bottom w:val="none" w:sz="0" w:space="0" w:color="auto"/>
        <w:right w:val="none" w:sz="0" w:space="0" w:color="auto"/>
      </w:divBdr>
    </w:div>
    <w:div w:id="291597249">
      <w:bodyDiv w:val="1"/>
      <w:marLeft w:val="0"/>
      <w:marRight w:val="0"/>
      <w:marTop w:val="0"/>
      <w:marBottom w:val="0"/>
      <w:divBdr>
        <w:top w:val="none" w:sz="0" w:space="0" w:color="auto"/>
        <w:left w:val="none" w:sz="0" w:space="0" w:color="auto"/>
        <w:bottom w:val="none" w:sz="0" w:space="0" w:color="auto"/>
        <w:right w:val="none" w:sz="0" w:space="0" w:color="auto"/>
      </w:divBdr>
    </w:div>
    <w:div w:id="297927225">
      <w:bodyDiv w:val="1"/>
      <w:marLeft w:val="0"/>
      <w:marRight w:val="0"/>
      <w:marTop w:val="0"/>
      <w:marBottom w:val="0"/>
      <w:divBdr>
        <w:top w:val="none" w:sz="0" w:space="0" w:color="auto"/>
        <w:left w:val="none" w:sz="0" w:space="0" w:color="auto"/>
        <w:bottom w:val="none" w:sz="0" w:space="0" w:color="auto"/>
        <w:right w:val="none" w:sz="0" w:space="0" w:color="auto"/>
      </w:divBdr>
    </w:div>
    <w:div w:id="298144897">
      <w:bodyDiv w:val="1"/>
      <w:marLeft w:val="0"/>
      <w:marRight w:val="0"/>
      <w:marTop w:val="0"/>
      <w:marBottom w:val="0"/>
      <w:divBdr>
        <w:top w:val="none" w:sz="0" w:space="0" w:color="auto"/>
        <w:left w:val="none" w:sz="0" w:space="0" w:color="auto"/>
        <w:bottom w:val="none" w:sz="0" w:space="0" w:color="auto"/>
        <w:right w:val="none" w:sz="0" w:space="0" w:color="auto"/>
      </w:divBdr>
    </w:div>
    <w:div w:id="335692777">
      <w:bodyDiv w:val="1"/>
      <w:marLeft w:val="0"/>
      <w:marRight w:val="0"/>
      <w:marTop w:val="0"/>
      <w:marBottom w:val="0"/>
      <w:divBdr>
        <w:top w:val="none" w:sz="0" w:space="0" w:color="auto"/>
        <w:left w:val="none" w:sz="0" w:space="0" w:color="auto"/>
        <w:bottom w:val="none" w:sz="0" w:space="0" w:color="auto"/>
        <w:right w:val="none" w:sz="0" w:space="0" w:color="auto"/>
      </w:divBdr>
    </w:div>
    <w:div w:id="363407058">
      <w:bodyDiv w:val="1"/>
      <w:marLeft w:val="0"/>
      <w:marRight w:val="0"/>
      <w:marTop w:val="0"/>
      <w:marBottom w:val="0"/>
      <w:divBdr>
        <w:top w:val="none" w:sz="0" w:space="0" w:color="auto"/>
        <w:left w:val="none" w:sz="0" w:space="0" w:color="auto"/>
        <w:bottom w:val="none" w:sz="0" w:space="0" w:color="auto"/>
        <w:right w:val="none" w:sz="0" w:space="0" w:color="auto"/>
      </w:divBdr>
    </w:div>
    <w:div w:id="385185337">
      <w:bodyDiv w:val="1"/>
      <w:marLeft w:val="0"/>
      <w:marRight w:val="0"/>
      <w:marTop w:val="0"/>
      <w:marBottom w:val="0"/>
      <w:divBdr>
        <w:top w:val="none" w:sz="0" w:space="0" w:color="auto"/>
        <w:left w:val="none" w:sz="0" w:space="0" w:color="auto"/>
        <w:bottom w:val="none" w:sz="0" w:space="0" w:color="auto"/>
        <w:right w:val="none" w:sz="0" w:space="0" w:color="auto"/>
      </w:divBdr>
    </w:div>
    <w:div w:id="418528200">
      <w:bodyDiv w:val="1"/>
      <w:marLeft w:val="0"/>
      <w:marRight w:val="0"/>
      <w:marTop w:val="0"/>
      <w:marBottom w:val="0"/>
      <w:divBdr>
        <w:top w:val="none" w:sz="0" w:space="0" w:color="auto"/>
        <w:left w:val="none" w:sz="0" w:space="0" w:color="auto"/>
        <w:bottom w:val="none" w:sz="0" w:space="0" w:color="auto"/>
        <w:right w:val="none" w:sz="0" w:space="0" w:color="auto"/>
      </w:divBdr>
    </w:div>
    <w:div w:id="421144358">
      <w:bodyDiv w:val="1"/>
      <w:marLeft w:val="0"/>
      <w:marRight w:val="0"/>
      <w:marTop w:val="0"/>
      <w:marBottom w:val="0"/>
      <w:divBdr>
        <w:top w:val="none" w:sz="0" w:space="0" w:color="auto"/>
        <w:left w:val="none" w:sz="0" w:space="0" w:color="auto"/>
        <w:bottom w:val="none" w:sz="0" w:space="0" w:color="auto"/>
        <w:right w:val="none" w:sz="0" w:space="0" w:color="auto"/>
      </w:divBdr>
    </w:div>
    <w:div w:id="432866533">
      <w:bodyDiv w:val="1"/>
      <w:marLeft w:val="0"/>
      <w:marRight w:val="0"/>
      <w:marTop w:val="0"/>
      <w:marBottom w:val="0"/>
      <w:divBdr>
        <w:top w:val="none" w:sz="0" w:space="0" w:color="auto"/>
        <w:left w:val="none" w:sz="0" w:space="0" w:color="auto"/>
        <w:bottom w:val="none" w:sz="0" w:space="0" w:color="auto"/>
        <w:right w:val="none" w:sz="0" w:space="0" w:color="auto"/>
      </w:divBdr>
      <w:divsChild>
        <w:div w:id="119569083">
          <w:marLeft w:val="0"/>
          <w:marRight w:val="0"/>
          <w:marTop w:val="0"/>
          <w:marBottom w:val="0"/>
          <w:divBdr>
            <w:top w:val="none" w:sz="0" w:space="0" w:color="auto"/>
            <w:left w:val="none" w:sz="0" w:space="0" w:color="auto"/>
            <w:bottom w:val="none" w:sz="0" w:space="0" w:color="auto"/>
            <w:right w:val="none" w:sz="0" w:space="0" w:color="auto"/>
          </w:divBdr>
          <w:divsChild>
            <w:div w:id="140126161">
              <w:marLeft w:val="0"/>
              <w:marRight w:val="0"/>
              <w:marTop w:val="0"/>
              <w:marBottom w:val="0"/>
              <w:divBdr>
                <w:top w:val="none" w:sz="0" w:space="0" w:color="auto"/>
                <w:left w:val="none" w:sz="0" w:space="0" w:color="auto"/>
                <w:bottom w:val="none" w:sz="0" w:space="0" w:color="auto"/>
                <w:right w:val="none" w:sz="0" w:space="0" w:color="auto"/>
              </w:divBdr>
              <w:divsChild>
                <w:div w:id="379403825">
                  <w:marLeft w:val="0"/>
                  <w:marRight w:val="0"/>
                  <w:marTop w:val="0"/>
                  <w:marBottom w:val="0"/>
                  <w:divBdr>
                    <w:top w:val="none" w:sz="0" w:space="0" w:color="auto"/>
                    <w:left w:val="none" w:sz="0" w:space="0" w:color="auto"/>
                    <w:bottom w:val="none" w:sz="0" w:space="0" w:color="auto"/>
                    <w:right w:val="none" w:sz="0" w:space="0" w:color="auto"/>
                  </w:divBdr>
                  <w:divsChild>
                    <w:div w:id="479730123">
                      <w:marLeft w:val="0"/>
                      <w:marRight w:val="0"/>
                      <w:marTop w:val="0"/>
                      <w:marBottom w:val="0"/>
                      <w:divBdr>
                        <w:top w:val="none" w:sz="0" w:space="0" w:color="auto"/>
                        <w:left w:val="none" w:sz="0" w:space="0" w:color="auto"/>
                        <w:bottom w:val="none" w:sz="0" w:space="0" w:color="auto"/>
                        <w:right w:val="none" w:sz="0" w:space="0" w:color="auto"/>
                      </w:divBdr>
                      <w:divsChild>
                        <w:div w:id="194580719">
                          <w:marLeft w:val="0"/>
                          <w:marRight w:val="0"/>
                          <w:marTop w:val="0"/>
                          <w:marBottom w:val="0"/>
                          <w:divBdr>
                            <w:top w:val="none" w:sz="0" w:space="0" w:color="auto"/>
                            <w:left w:val="none" w:sz="0" w:space="0" w:color="auto"/>
                            <w:bottom w:val="none" w:sz="0" w:space="0" w:color="auto"/>
                            <w:right w:val="none" w:sz="0" w:space="0" w:color="auto"/>
                          </w:divBdr>
                          <w:divsChild>
                            <w:div w:id="2026980614">
                              <w:marLeft w:val="-240"/>
                              <w:marRight w:val="-120"/>
                              <w:marTop w:val="0"/>
                              <w:marBottom w:val="0"/>
                              <w:divBdr>
                                <w:top w:val="none" w:sz="0" w:space="0" w:color="auto"/>
                                <w:left w:val="none" w:sz="0" w:space="0" w:color="auto"/>
                                <w:bottom w:val="none" w:sz="0" w:space="0" w:color="auto"/>
                                <w:right w:val="none" w:sz="0" w:space="0" w:color="auto"/>
                              </w:divBdr>
                              <w:divsChild>
                                <w:div w:id="1249582575">
                                  <w:marLeft w:val="0"/>
                                  <w:marRight w:val="0"/>
                                  <w:marTop w:val="0"/>
                                  <w:marBottom w:val="60"/>
                                  <w:divBdr>
                                    <w:top w:val="none" w:sz="0" w:space="0" w:color="auto"/>
                                    <w:left w:val="none" w:sz="0" w:space="0" w:color="auto"/>
                                    <w:bottom w:val="none" w:sz="0" w:space="0" w:color="auto"/>
                                    <w:right w:val="none" w:sz="0" w:space="0" w:color="auto"/>
                                  </w:divBdr>
                                  <w:divsChild>
                                    <w:div w:id="328366174">
                                      <w:marLeft w:val="0"/>
                                      <w:marRight w:val="0"/>
                                      <w:marTop w:val="0"/>
                                      <w:marBottom w:val="0"/>
                                      <w:divBdr>
                                        <w:top w:val="none" w:sz="0" w:space="0" w:color="auto"/>
                                        <w:left w:val="none" w:sz="0" w:space="0" w:color="auto"/>
                                        <w:bottom w:val="none" w:sz="0" w:space="0" w:color="auto"/>
                                        <w:right w:val="none" w:sz="0" w:space="0" w:color="auto"/>
                                      </w:divBdr>
                                      <w:divsChild>
                                        <w:div w:id="1367218335">
                                          <w:marLeft w:val="0"/>
                                          <w:marRight w:val="0"/>
                                          <w:marTop w:val="0"/>
                                          <w:marBottom w:val="0"/>
                                          <w:divBdr>
                                            <w:top w:val="none" w:sz="0" w:space="0" w:color="auto"/>
                                            <w:left w:val="none" w:sz="0" w:space="0" w:color="auto"/>
                                            <w:bottom w:val="none" w:sz="0" w:space="0" w:color="auto"/>
                                            <w:right w:val="none" w:sz="0" w:space="0" w:color="auto"/>
                                          </w:divBdr>
                                          <w:divsChild>
                                            <w:div w:id="687566898">
                                              <w:marLeft w:val="0"/>
                                              <w:marRight w:val="0"/>
                                              <w:marTop w:val="0"/>
                                              <w:marBottom w:val="0"/>
                                              <w:divBdr>
                                                <w:top w:val="none" w:sz="0" w:space="0" w:color="auto"/>
                                                <w:left w:val="none" w:sz="0" w:space="0" w:color="auto"/>
                                                <w:bottom w:val="none" w:sz="0" w:space="0" w:color="auto"/>
                                                <w:right w:val="none" w:sz="0" w:space="0" w:color="auto"/>
                                              </w:divBdr>
                                              <w:divsChild>
                                                <w:div w:id="23589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4967010">
          <w:marLeft w:val="0"/>
          <w:marRight w:val="0"/>
          <w:marTop w:val="0"/>
          <w:marBottom w:val="0"/>
          <w:divBdr>
            <w:top w:val="none" w:sz="0" w:space="0" w:color="auto"/>
            <w:left w:val="none" w:sz="0" w:space="0" w:color="auto"/>
            <w:bottom w:val="none" w:sz="0" w:space="0" w:color="auto"/>
            <w:right w:val="none" w:sz="0" w:space="0" w:color="auto"/>
          </w:divBdr>
          <w:divsChild>
            <w:div w:id="716468625">
              <w:marLeft w:val="0"/>
              <w:marRight w:val="0"/>
              <w:marTop w:val="0"/>
              <w:marBottom w:val="0"/>
              <w:divBdr>
                <w:top w:val="none" w:sz="0" w:space="0" w:color="auto"/>
                <w:left w:val="none" w:sz="0" w:space="0" w:color="auto"/>
                <w:bottom w:val="none" w:sz="0" w:space="0" w:color="auto"/>
                <w:right w:val="none" w:sz="0" w:space="0" w:color="auto"/>
              </w:divBdr>
              <w:divsChild>
                <w:div w:id="1443456715">
                  <w:marLeft w:val="0"/>
                  <w:marRight w:val="0"/>
                  <w:marTop w:val="0"/>
                  <w:marBottom w:val="0"/>
                  <w:divBdr>
                    <w:top w:val="none" w:sz="0" w:space="0" w:color="auto"/>
                    <w:left w:val="none" w:sz="0" w:space="0" w:color="auto"/>
                    <w:bottom w:val="none" w:sz="0" w:space="0" w:color="auto"/>
                    <w:right w:val="none" w:sz="0" w:space="0" w:color="auto"/>
                  </w:divBdr>
                  <w:divsChild>
                    <w:div w:id="724916516">
                      <w:marLeft w:val="0"/>
                      <w:marRight w:val="0"/>
                      <w:marTop w:val="0"/>
                      <w:marBottom w:val="0"/>
                      <w:divBdr>
                        <w:top w:val="none" w:sz="0" w:space="0" w:color="auto"/>
                        <w:left w:val="none" w:sz="0" w:space="0" w:color="auto"/>
                        <w:bottom w:val="none" w:sz="0" w:space="0" w:color="auto"/>
                        <w:right w:val="none" w:sz="0" w:space="0" w:color="auto"/>
                      </w:divBdr>
                      <w:divsChild>
                        <w:div w:id="694159291">
                          <w:marLeft w:val="0"/>
                          <w:marRight w:val="0"/>
                          <w:marTop w:val="0"/>
                          <w:marBottom w:val="0"/>
                          <w:divBdr>
                            <w:top w:val="none" w:sz="0" w:space="0" w:color="auto"/>
                            <w:left w:val="none" w:sz="0" w:space="0" w:color="auto"/>
                            <w:bottom w:val="none" w:sz="0" w:space="0" w:color="auto"/>
                            <w:right w:val="none" w:sz="0" w:space="0" w:color="auto"/>
                          </w:divBdr>
                          <w:divsChild>
                            <w:div w:id="385589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952161">
      <w:bodyDiv w:val="1"/>
      <w:marLeft w:val="0"/>
      <w:marRight w:val="0"/>
      <w:marTop w:val="0"/>
      <w:marBottom w:val="0"/>
      <w:divBdr>
        <w:top w:val="none" w:sz="0" w:space="0" w:color="auto"/>
        <w:left w:val="none" w:sz="0" w:space="0" w:color="auto"/>
        <w:bottom w:val="none" w:sz="0" w:space="0" w:color="auto"/>
        <w:right w:val="none" w:sz="0" w:space="0" w:color="auto"/>
      </w:divBdr>
    </w:div>
    <w:div w:id="465707321">
      <w:bodyDiv w:val="1"/>
      <w:marLeft w:val="0"/>
      <w:marRight w:val="0"/>
      <w:marTop w:val="0"/>
      <w:marBottom w:val="0"/>
      <w:divBdr>
        <w:top w:val="none" w:sz="0" w:space="0" w:color="auto"/>
        <w:left w:val="none" w:sz="0" w:space="0" w:color="auto"/>
        <w:bottom w:val="none" w:sz="0" w:space="0" w:color="auto"/>
        <w:right w:val="none" w:sz="0" w:space="0" w:color="auto"/>
      </w:divBdr>
    </w:div>
    <w:div w:id="471096512">
      <w:bodyDiv w:val="1"/>
      <w:marLeft w:val="0"/>
      <w:marRight w:val="0"/>
      <w:marTop w:val="0"/>
      <w:marBottom w:val="0"/>
      <w:divBdr>
        <w:top w:val="none" w:sz="0" w:space="0" w:color="auto"/>
        <w:left w:val="none" w:sz="0" w:space="0" w:color="auto"/>
        <w:bottom w:val="none" w:sz="0" w:space="0" w:color="auto"/>
        <w:right w:val="none" w:sz="0" w:space="0" w:color="auto"/>
      </w:divBdr>
    </w:div>
    <w:div w:id="488525507">
      <w:bodyDiv w:val="1"/>
      <w:marLeft w:val="0"/>
      <w:marRight w:val="0"/>
      <w:marTop w:val="0"/>
      <w:marBottom w:val="0"/>
      <w:divBdr>
        <w:top w:val="none" w:sz="0" w:space="0" w:color="auto"/>
        <w:left w:val="none" w:sz="0" w:space="0" w:color="auto"/>
        <w:bottom w:val="none" w:sz="0" w:space="0" w:color="auto"/>
        <w:right w:val="none" w:sz="0" w:space="0" w:color="auto"/>
      </w:divBdr>
    </w:div>
    <w:div w:id="499858077">
      <w:bodyDiv w:val="1"/>
      <w:marLeft w:val="0"/>
      <w:marRight w:val="0"/>
      <w:marTop w:val="0"/>
      <w:marBottom w:val="0"/>
      <w:divBdr>
        <w:top w:val="none" w:sz="0" w:space="0" w:color="auto"/>
        <w:left w:val="none" w:sz="0" w:space="0" w:color="auto"/>
        <w:bottom w:val="none" w:sz="0" w:space="0" w:color="auto"/>
        <w:right w:val="none" w:sz="0" w:space="0" w:color="auto"/>
      </w:divBdr>
    </w:div>
    <w:div w:id="504634686">
      <w:bodyDiv w:val="1"/>
      <w:marLeft w:val="0"/>
      <w:marRight w:val="0"/>
      <w:marTop w:val="0"/>
      <w:marBottom w:val="0"/>
      <w:divBdr>
        <w:top w:val="none" w:sz="0" w:space="0" w:color="auto"/>
        <w:left w:val="none" w:sz="0" w:space="0" w:color="auto"/>
        <w:bottom w:val="none" w:sz="0" w:space="0" w:color="auto"/>
        <w:right w:val="none" w:sz="0" w:space="0" w:color="auto"/>
      </w:divBdr>
    </w:div>
    <w:div w:id="506865008">
      <w:bodyDiv w:val="1"/>
      <w:marLeft w:val="0"/>
      <w:marRight w:val="0"/>
      <w:marTop w:val="0"/>
      <w:marBottom w:val="0"/>
      <w:divBdr>
        <w:top w:val="none" w:sz="0" w:space="0" w:color="auto"/>
        <w:left w:val="none" w:sz="0" w:space="0" w:color="auto"/>
        <w:bottom w:val="none" w:sz="0" w:space="0" w:color="auto"/>
        <w:right w:val="none" w:sz="0" w:space="0" w:color="auto"/>
      </w:divBdr>
    </w:div>
    <w:div w:id="514617184">
      <w:bodyDiv w:val="1"/>
      <w:marLeft w:val="0"/>
      <w:marRight w:val="0"/>
      <w:marTop w:val="0"/>
      <w:marBottom w:val="0"/>
      <w:divBdr>
        <w:top w:val="none" w:sz="0" w:space="0" w:color="auto"/>
        <w:left w:val="none" w:sz="0" w:space="0" w:color="auto"/>
        <w:bottom w:val="none" w:sz="0" w:space="0" w:color="auto"/>
        <w:right w:val="none" w:sz="0" w:space="0" w:color="auto"/>
      </w:divBdr>
    </w:div>
    <w:div w:id="532153353">
      <w:bodyDiv w:val="1"/>
      <w:marLeft w:val="0"/>
      <w:marRight w:val="0"/>
      <w:marTop w:val="0"/>
      <w:marBottom w:val="0"/>
      <w:divBdr>
        <w:top w:val="none" w:sz="0" w:space="0" w:color="auto"/>
        <w:left w:val="none" w:sz="0" w:space="0" w:color="auto"/>
        <w:bottom w:val="none" w:sz="0" w:space="0" w:color="auto"/>
        <w:right w:val="none" w:sz="0" w:space="0" w:color="auto"/>
      </w:divBdr>
    </w:div>
    <w:div w:id="532809901">
      <w:bodyDiv w:val="1"/>
      <w:marLeft w:val="0"/>
      <w:marRight w:val="0"/>
      <w:marTop w:val="0"/>
      <w:marBottom w:val="0"/>
      <w:divBdr>
        <w:top w:val="none" w:sz="0" w:space="0" w:color="auto"/>
        <w:left w:val="none" w:sz="0" w:space="0" w:color="auto"/>
        <w:bottom w:val="none" w:sz="0" w:space="0" w:color="auto"/>
        <w:right w:val="none" w:sz="0" w:space="0" w:color="auto"/>
      </w:divBdr>
    </w:div>
    <w:div w:id="537158230">
      <w:bodyDiv w:val="1"/>
      <w:marLeft w:val="0"/>
      <w:marRight w:val="0"/>
      <w:marTop w:val="0"/>
      <w:marBottom w:val="0"/>
      <w:divBdr>
        <w:top w:val="none" w:sz="0" w:space="0" w:color="auto"/>
        <w:left w:val="none" w:sz="0" w:space="0" w:color="auto"/>
        <w:bottom w:val="none" w:sz="0" w:space="0" w:color="auto"/>
        <w:right w:val="none" w:sz="0" w:space="0" w:color="auto"/>
      </w:divBdr>
    </w:div>
    <w:div w:id="554702600">
      <w:bodyDiv w:val="1"/>
      <w:marLeft w:val="0"/>
      <w:marRight w:val="0"/>
      <w:marTop w:val="0"/>
      <w:marBottom w:val="0"/>
      <w:divBdr>
        <w:top w:val="none" w:sz="0" w:space="0" w:color="auto"/>
        <w:left w:val="none" w:sz="0" w:space="0" w:color="auto"/>
        <w:bottom w:val="none" w:sz="0" w:space="0" w:color="auto"/>
        <w:right w:val="none" w:sz="0" w:space="0" w:color="auto"/>
      </w:divBdr>
    </w:div>
    <w:div w:id="579214279">
      <w:bodyDiv w:val="1"/>
      <w:marLeft w:val="0"/>
      <w:marRight w:val="0"/>
      <w:marTop w:val="0"/>
      <w:marBottom w:val="0"/>
      <w:divBdr>
        <w:top w:val="none" w:sz="0" w:space="0" w:color="auto"/>
        <w:left w:val="none" w:sz="0" w:space="0" w:color="auto"/>
        <w:bottom w:val="none" w:sz="0" w:space="0" w:color="auto"/>
        <w:right w:val="none" w:sz="0" w:space="0" w:color="auto"/>
      </w:divBdr>
    </w:div>
    <w:div w:id="617876178">
      <w:bodyDiv w:val="1"/>
      <w:marLeft w:val="0"/>
      <w:marRight w:val="0"/>
      <w:marTop w:val="0"/>
      <w:marBottom w:val="0"/>
      <w:divBdr>
        <w:top w:val="none" w:sz="0" w:space="0" w:color="auto"/>
        <w:left w:val="none" w:sz="0" w:space="0" w:color="auto"/>
        <w:bottom w:val="none" w:sz="0" w:space="0" w:color="auto"/>
        <w:right w:val="none" w:sz="0" w:space="0" w:color="auto"/>
      </w:divBdr>
    </w:div>
    <w:div w:id="641614325">
      <w:bodyDiv w:val="1"/>
      <w:marLeft w:val="0"/>
      <w:marRight w:val="0"/>
      <w:marTop w:val="0"/>
      <w:marBottom w:val="0"/>
      <w:divBdr>
        <w:top w:val="none" w:sz="0" w:space="0" w:color="auto"/>
        <w:left w:val="none" w:sz="0" w:space="0" w:color="auto"/>
        <w:bottom w:val="none" w:sz="0" w:space="0" w:color="auto"/>
        <w:right w:val="none" w:sz="0" w:space="0" w:color="auto"/>
      </w:divBdr>
    </w:div>
    <w:div w:id="646589137">
      <w:bodyDiv w:val="1"/>
      <w:marLeft w:val="0"/>
      <w:marRight w:val="0"/>
      <w:marTop w:val="0"/>
      <w:marBottom w:val="0"/>
      <w:divBdr>
        <w:top w:val="none" w:sz="0" w:space="0" w:color="auto"/>
        <w:left w:val="none" w:sz="0" w:space="0" w:color="auto"/>
        <w:bottom w:val="none" w:sz="0" w:space="0" w:color="auto"/>
        <w:right w:val="none" w:sz="0" w:space="0" w:color="auto"/>
      </w:divBdr>
    </w:div>
    <w:div w:id="648944363">
      <w:bodyDiv w:val="1"/>
      <w:marLeft w:val="0"/>
      <w:marRight w:val="0"/>
      <w:marTop w:val="0"/>
      <w:marBottom w:val="0"/>
      <w:divBdr>
        <w:top w:val="none" w:sz="0" w:space="0" w:color="auto"/>
        <w:left w:val="none" w:sz="0" w:space="0" w:color="auto"/>
        <w:bottom w:val="none" w:sz="0" w:space="0" w:color="auto"/>
        <w:right w:val="none" w:sz="0" w:space="0" w:color="auto"/>
      </w:divBdr>
    </w:div>
    <w:div w:id="656418995">
      <w:bodyDiv w:val="1"/>
      <w:marLeft w:val="0"/>
      <w:marRight w:val="0"/>
      <w:marTop w:val="0"/>
      <w:marBottom w:val="0"/>
      <w:divBdr>
        <w:top w:val="none" w:sz="0" w:space="0" w:color="auto"/>
        <w:left w:val="none" w:sz="0" w:space="0" w:color="auto"/>
        <w:bottom w:val="none" w:sz="0" w:space="0" w:color="auto"/>
        <w:right w:val="none" w:sz="0" w:space="0" w:color="auto"/>
      </w:divBdr>
    </w:div>
    <w:div w:id="665088189">
      <w:bodyDiv w:val="1"/>
      <w:marLeft w:val="0"/>
      <w:marRight w:val="0"/>
      <w:marTop w:val="0"/>
      <w:marBottom w:val="0"/>
      <w:divBdr>
        <w:top w:val="none" w:sz="0" w:space="0" w:color="auto"/>
        <w:left w:val="none" w:sz="0" w:space="0" w:color="auto"/>
        <w:bottom w:val="none" w:sz="0" w:space="0" w:color="auto"/>
        <w:right w:val="none" w:sz="0" w:space="0" w:color="auto"/>
      </w:divBdr>
    </w:div>
    <w:div w:id="665327034">
      <w:bodyDiv w:val="1"/>
      <w:marLeft w:val="0"/>
      <w:marRight w:val="0"/>
      <w:marTop w:val="0"/>
      <w:marBottom w:val="0"/>
      <w:divBdr>
        <w:top w:val="none" w:sz="0" w:space="0" w:color="auto"/>
        <w:left w:val="none" w:sz="0" w:space="0" w:color="auto"/>
        <w:bottom w:val="none" w:sz="0" w:space="0" w:color="auto"/>
        <w:right w:val="none" w:sz="0" w:space="0" w:color="auto"/>
      </w:divBdr>
    </w:div>
    <w:div w:id="701976272">
      <w:bodyDiv w:val="1"/>
      <w:marLeft w:val="0"/>
      <w:marRight w:val="0"/>
      <w:marTop w:val="0"/>
      <w:marBottom w:val="0"/>
      <w:divBdr>
        <w:top w:val="none" w:sz="0" w:space="0" w:color="auto"/>
        <w:left w:val="none" w:sz="0" w:space="0" w:color="auto"/>
        <w:bottom w:val="none" w:sz="0" w:space="0" w:color="auto"/>
        <w:right w:val="none" w:sz="0" w:space="0" w:color="auto"/>
      </w:divBdr>
    </w:div>
    <w:div w:id="708913144">
      <w:bodyDiv w:val="1"/>
      <w:marLeft w:val="0"/>
      <w:marRight w:val="0"/>
      <w:marTop w:val="0"/>
      <w:marBottom w:val="0"/>
      <w:divBdr>
        <w:top w:val="none" w:sz="0" w:space="0" w:color="auto"/>
        <w:left w:val="none" w:sz="0" w:space="0" w:color="auto"/>
        <w:bottom w:val="none" w:sz="0" w:space="0" w:color="auto"/>
        <w:right w:val="none" w:sz="0" w:space="0" w:color="auto"/>
      </w:divBdr>
    </w:div>
    <w:div w:id="713774694">
      <w:bodyDiv w:val="1"/>
      <w:marLeft w:val="0"/>
      <w:marRight w:val="0"/>
      <w:marTop w:val="0"/>
      <w:marBottom w:val="0"/>
      <w:divBdr>
        <w:top w:val="none" w:sz="0" w:space="0" w:color="auto"/>
        <w:left w:val="none" w:sz="0" w:space="0" w:color="auto"/>
        <w:bottom w:val="none" w:sz="0" w:space="0" w:color="auto"/>
        <w:right w:val="none" w:sz="0" w:space="0" w:color="auto"/>
      </w:divBdr>
    </w:div>
    <w:div w:id="718482688">
      <w:bodyDiv w:val="1"/>
      <w:marLeft w:val="0"/>
      <w:marRight w:val="0"/>
      <w:marTop w:val="0"/>
      <w:marBottom w:val="0"/>
      <w:divBdr>
        <w:top w:val="none" w:sz="0" w:space="0" w:color="auto"/>
        <w:left w:val="none" w:sz="0" w:space="0" w:color="auto"/>
        <w:bottom w:val="none" w:sz="0" w:space="0" w:color="auto"/>
        <w:right w:val="none" w:sz="0" w:space="0" w:color="auto"/>
      </w:divBdr>
    </w:div>
    <w:div w:id="732967561">
      <w:bodyDiv w:val="1"/>
      <w:marLeft w:val="0"/>
      <w:marRight w:val="0"/>
      <w:marTop w:val="0"/>
      <w:marBottom w:val="0"/>
      <w:divBdr>
        <w:top w:val="none" w:sz="0" w:space="0" w:color="auto"/>
        <w:left w:val="none" w:sz="0" w:space="0" w:color="auto"/>
        <w:bottom w:val="none" w:sz="0" w:space="0" w:color="auto"/>
        <w:right w:val="none" w:sz="0" w:space="0" w:color="auto"/>
      </w:divBdr>
    </w:div>
    <w:div w:id="746414716">
      <w:bodyDiv w:val="1"/>
      <w:marLeft w:val="0"/>
      <w:marRight w:val="0"/>
      <w:marTop w:val="0"/>
      <w:marBottom w:val="0"/>
      <w:divBdr>
        <w:top w:val="none" w:sz="0" w:space="0" w:color="auto"/>
        <w:left w:val="none" w:sz="0" w:space="0" w:color="auto"/>
        <w:bottom w:val="none" w:sz="0" w:space="0" w:color="auto"/>
        <w:right w:val="none" w:sz="0" w:space="0" w:color="auto"/>
      </w:divBdr>
    </w:div>
    <w:div w:id="761493725">
      <w:bodyDiv w:val="1"/>
      <w:marLeft w:val="0"/>
      <w:marRight w:val="0"/>
      <w:marTop w:val="0"/>
      <w:marBottom w:val="0"/>
      <w:divBdr>
        <w:top w:val="none" w:sz="0" w:space="0" w:color="auto"/>
        <w:left w:val="none" w:sz="0" w:space="0" w:color="auto"/>
        <w:bottom w:val="none" w:sz="0" w:space="0" w:color="auto"/>
        <w:right w:val="none" w:sz="0" w:space="0" w:color="auto"/>
      </w:divBdr>
    </w:div>
    <w:div w:id="762723192">
      <w:bodyDiv w:val="1"/>
      <w:marLeft w:val="0"/>
      <w:marRight w:val="0"/>
      <w:marTop w:val="0"/>
      <w:marBottom w:val="0"/>
      <w:divBdr>
        <w:top w:val="none" w:sz="0" w:space="0" w:color="auto"/>
        <w:left w:val="none" w:sz="0" w:space="0" w:color="auto"/>
        <w:bottom w:val="none" w:sz="0" w:space="0" w:color="auto"/>
        <w:right w:val="none" w:sz="0" w:space="0" w:color="auto"/>
      </w:divBdr>
    </w:div>
    <w:div w:id="769853407">
      <w:bodyDiv w:val="1"/>
      <w:marLeft w:val="0"/>
      <w:marRight w:val="0"/>
      <w:marTop w:val="0"/>
      <w:marBottom w:val="0"/>
      <w:divBdr>
        <w:top w:val="none" w:sz="0" w:space="0" w:color="auto"/>
        <w:left w:val="none" w:sz="0" w:space="0" w:color="auto"/>
        <w:bottom w:val="none" w:sz="0" w:space="0" w:color="auto"/>
        <w:right w:val="none" w:sz="0" w:space="0" w:color="auto"/>
      </w:divBdr>
    </w:div>
    <w:div w:id="771513406">
      <w:bodyDiv w:val="1"/>
      <w:marLeft w:val="0"/>
      <w:marRight w:val="0"/>
      <w:marTop w:val="0"/>
      <w:marBottom w:val="0"/>
      <w:divBdr>
        <w:top w:val="none" w:sz="0" w:space="0" w:color="auto"/>
        <w:left w:val="none" w:sz="0" w:space="0" w:color="auto"/>
        <w:bottom w:val="none" w:sz="0" w:space="0" w:color="auto"/>
        <w:right w:val="none" w:sz="0" w:space="0" w:color="auto"/>
      </w:divBdr>
    </w:div>
    <w:div w:id="771707017">
      <w:bodyDiv w:val="1"/>
      <w:marLeft w:val="0"/>
      <w:marRight w:val="0"/>
      <w:marTop w:val="0"/>
      <w:marBottom w:val="0"/>
      <w:divBdr>
        <w:top w:val="none" w:sz="0" w:space="0" w:color="auto"/>
        <w:left w:val="none" w:sz="0" w:space="0" w:color="auto"/>
        <w:bottom w:val="none" w:sz="0" w:space="0" w:color="auto"/>
        <w:right w:val="none" w:sz="0" w:space="0" w:color="auto"/>
      </w:divBdr>
    </w:div>
    <w:div w:id="786387338">
      <w:bodyDiv w:val="1"/>
      <w:marLeft w:val="0"/>
      <w:marRight w:val="0"/>
      <w:marTop w:val="0"/>
      <w:marBottom w:val="0"/>
      <w:divBdr>
        <w:top w:val="none" w:sz="0" w:space="0" w:color="auto"/>
        <w:left w:val="none" w:sz="0" w:space="0" w:color="auto"/>
        <w:bottom w:val="none" w:sz="0" w:space="0" w:color="auto"/>
        <w:right w:val="none" w:sz="0" w:space="0" w:color="auto"/>
      </w:divBdr>
    </w:div>
    <w:div w:id="817918982">
      <w:bodyDiv w:val="1"/>
      <w:marLeft w:val="0"/>
      <w:marRight w:val="0"/>
      <w:marTop w:val="0"/>
      <w:marBottom w:val="0"/>
      <w:divBdr>
        <w:top w:val="none" w:sz="0" w:space="0" w:color="auto"/>
        <w:left w:val="none" w:sz="0" w:space="0" w:color="auto"/>
        <w:bottom w:val="none" w:sz="0" w:space="0" w:color="auto"/>
        <w:right w:val="none" w:sz="0" w:space="0" w:color="auto"/>
      </w:divBdr>
    </w:div>
    <w:div w:id="840975253">
      <w:bodyDiv w:val="1"/>
      <w:marLeft w:val="0"/>
      <w:marRight w:val="0"/>
      <w:marTop w:val="0"/>
      <w:marBottom w:val="0"/>
      <w:divBdr>
        <w:top w:val="none" w:sz="0" w:space="0" w:color="auto"/>
        <w:left w:val="none" w:sz="0" w:space="0" w:color="auto"/>
        <w:bottom w:val="none" w:sz="0" w:space="0" w:color="auto"/>
        <w:right w:val="none" w:sz="0" w:space="0" w:color="auto"/>
      </w:divBdr>
    </w:div>
    <w:div w:id="849563420">
      <w:bodyDiv w:val="1"/>
      <w:marLeft w:val="0"/>
      <w:marRight w:val="0"/>
      <w:marTop w:val="0"/>
      <w:marBottom w:val="0"/>
      <w:divBdr>
        <w:top w:val="none" w:sz="0" w:space="0" w:color="auto"/>
        <w:left w:val="none" w:sz="0" w:space="0" w:color="auto"/>
        <w:bottom w:val="none" w:sz="0" w:space="0" w:color="auto"/>
        <w:right w:val="none" w:sz="0" w:space="0" w:color="auto"/>
      </w:divBdr>
    </w:div>
    <w:div w:id="870848809">
      <w:bodyDiv w:val="1"/>
      <w:marLeft w:val="0"/>
      <w:marRight w:val="0"/>
      <w:marTop w:val="0"/>
      <w:marBottom w:val="0"/>
      <w:divBdr>
        <w:top w:val="none" w:sz="0" w:space="0" w:color="auto"/>
        <w:left w:val="none" w:sz="0" w:space="0" w:color="auto"/>
        <w:bottom w:val="none" w:sz="0" w:space="0" w:color="auto"/>
        <w:right w:val="none" w:sz="0" w:space="0" w:color="auto"/>
      </w:divBdr>
    </w:div>
    <w:div w:id="877204531">
      <w:bodyDiv w:val="1"/>
      <w:marLeft w:val="0"/>
      <w:marRight w:val="0"/>
      <w:marTop w:val="0"/>
      <w:marBottom w:val="0"/>
      <w:divBdr>
        <w:top w:val="none" w:sz="0" w:space="0" w:color="auto"/>
        <w:left w:val="none" w:sz="0" w:space="0" w:color="auto"/>
        <w:bottom w:val="none" w:sz="0" w:space="0" w:color="auto"/>
        <w:right w:val="none" w:sz="0" w:space="0" w:color="auto"/>
      </w:divBdr>
    </w:div>
    <w:div w:id="892666160">
      <w:bodyDiv w:val="1"/>
      <w:marLeft w:val="0"/>
      <w:marRight w:val="0"/>
      <w:marTop w:val="0"/>
      <w:marBottom w:val="0"/>
      <w:divBdr>
        <w:top w:val="none" w:sz="0" w:space="0" w:color="auto"/>
        <w:left w:val="none" w:sz="0" w:space="0" w:color="auto"/>
        <w:bottom w:val="none" w:sz="0" w:space="0" w:color="auto"/>
        <w:right w:val="none" w:sz="0" w:space="0" w:color="auto"/>
      </w:divBdr>
    </w:div>
    <w:div w:id="893783409">
      <w:bodyDiv w:val="1"/>
      <w:marLeft w:val="0"/>
      <w:marRight w:val="0"/>
      <w:marTop w:val="0"/>
      <w:marBottom w:val="0"/>
      <w:divBdr>
        <w:top w:val="none" w:sz="0" w:space="0" w:color="auto"/>
        <w:left w:val="none" w:sz="0" w:space="0" w:color="auto"/>
        <w:bottom w:val="none" w:sz="0" w:space="0" w:color="auto"/>
        <w:right w:val="none" w:sz="0" w:space="0" w:color="auto"/>
      </w:divBdr>
    </w:div>
    <w:div w:id="894856376">
      <w:bodyDiv w:val="1"/>
      <w:marLeft w:val="0"/>
      <w:marRight w:val="0"/>
      <w:marTop w:val="0"/>
      <w:marBottom w:val="0"/>
      <w:divBdr>
        <w:top w:val="none" w:sz="0" w:space="0" w:color="auto"/>
        <w:left w:val="none" w:sz="0" w:space="0" w:color="auto"/>
        <w:bottom w:val="none" w:sz="0" w:space="0" w:color="auto"/>
        <w:right w:val="none" w:sz="0" w:space="0" w:color="auto"/>
      </w:divBdr>
    </w:div>
    <w:div w:id="901526274">
      <w:bodyDiv w:val="1"/>
      <w:marLeft w:val="0"/>
      <w:marRight w:val="0"/>
      <w:marTop w:val="0"/>
      <w:marBottom w:val="0"/>
      <w:divBdr>
        <w:top w:val="none" w:sz="0" w:space="0" w:color="auto"/>
        <w:left w:val="none" w:sz="0" w:space="0" w:color="auto"/>
        <w:bottom w:val="none" w:sz="0" w:space="0" w:color="auto"/>
        <w:right w:val="none" w:sz="0" w:space="0" w:color="auto"/>
      </w:divBdr>
    </w:div>
    <w:div w:id="902443637">
      <w:bodyDiv w:val="1"/>
      <w:marLeft w:val="0"/>
      <w:marRight w:val="0"/>
      <w:marTop w:val="0"/>
      <w:marBottom w:val="0"/>
      <w:divBdr>
        <w:top w:val="none" w:sz="0" w:space="0" w:color="auto"/>
        <w:left w:val="none" w:sz="0" w:space="0" w:color="auto"/>
        <w:bottom w:val="none" w:sz="0" w:space="0" w:color="auto"/>
        <w:right w:val="none" w:sz="0" w:space="0" w:color="auto"/>
      </w:divBdr>
    </w:div>
    <w:div w:id="923950628">
      <w:bodyDiv w:val="1"/>
      <w:marLeft w:val="0"/>
      <w:marRight w:val="0"/>
      <w:marTop w:val="0"/>
      <w:marBottom w:val="0"/>
      <w:divBdr>
        <w:top w:val="none" w:sz="0" w:space="0" w:color="auto"/>
        <w:left w:val="none" w:sz="0" w:space="0" w:color="auto"/>
        <w:bottom w:val="none" w:sz="0" w:space="0" w:color="auto"/>
        <w:right w:val="none" w:sz="0" w:space="0" w:color="auto"/>
      </w:divBdr>
    </w:div>
    <w:div w:id="926500138">
      <w:bodyDiv w:val="1"/>
      <w:marLeft w:val="0"/>
      <w:marRight w:val="0"/>
      <w:marTop w:val="0"/>
      <w:marBottom w:val="0"/>
      <w:divBdr>
        <w:top w:val="none" w:sz="0" w:space="0" w:color="auto"/>
        <w:left w:val="none" w:sz="0" w:space="0" w:color="auto"/>
        <w:bottom w:val="none" w:sz="0" w:space="0" w:color="auto"/>
        <w:right w:val="none" w:sz="0" w:space="0" w:color="auto"/>
      </w:divBdr>
    </w:div>
    <w:div w:id="935098682">
      <w:bodyDiv w:val="1"/>
      <w:marLeft w:val="0"/>
      <w:marRight w:val="0"/>
      <w:marTop w:val="0"/>
      <w:marBottom w:val="0"/>
      <w:divBdr>
        <w:top w:val="none" w:sz="0" w:space="0" w:color="auto"/>
        <w:left w:val="none" w:sz="0" w:space="0" w:color="auto"/>
        <w:bottom w:val="none" w:sz="0" w:space="0" w:color="auto"/>
        <w:right w:val="none" w:sz="0" w:space="0" w:color="auto"/>
      </w:divBdr>
    </w:div>
    <w:div w:id="939987555">
      <w:bodyDiv w:val="1"/>
      <w:marLeft w:val="0"/>
      <w:marRight w:val="0"/>
      <w:marTop w:val="0"/>
      <w:marBottom w:val="0"/>
      <w:divBdr>
        <w:top w:val="none" w:sz="0" w:space="0" w:color="auto"/>
        <w:left w:val="none" w:sz="0" w:space="0" w:color="auto"/>
        <w:bottom w:val="none" w:sz="0" w:space="0" w:color="auto"/>
        <w:right w:val="none" w:sz="0" w:space="0" w:color="auto"/>
      </w:divBdr>
    </w:div>
    <w:div w:id="942959029">
      <w:bodyDiv w:val="1"/>
      <w:marLeft w:val="0"/>
      <w:marRight w:val="0"/>
      <w:marTop w:val="0"/>
      <w:marBottom w:val="0"/>
      <w:divBdr>
        <w:top w:val="none" w:sz="0" w:space="0" w:color="auto"/>
        <w:left w:val="none" w:sz="0" w:space="0" w:color="auto"/>
        <w:bottom w:val="none" w:sz="0" w:space="0" w:color="auto"/>
        <w:right w:val="none" w:sz="0" w:space="0" w:color="auto"/>
      </w:divBdr>
    </w:div>
    <w:div w:id="948897312">
      <w:bodyDiv w:val="1"/>
      <w:marLeft w:val="0"/>
      <w:marRight w:val="0"/>
      <w:marTop w:val="0"/>
      <w:marBottom w:val="0"/>
      <w:divBdr>
        <w:top w:val="none" w:sz="0" w:space="0" w:color="auto"/>
        <w:left w:val="none" w:sz="0" w:space="0" w:color="auto"/>
        <w:bottom w:val="none" w:sz="0" w:space="0" w:color="auto"/>
        <w:right w:val="none" w:sz="0" w:space="0" w:color="auto"/>
      </w:divBdr>
    </w:div>
    <w:div w:id="956133875">
      <w:bodyDiv w:val="1"/>
      <w:marLeft w:val="0"/>
      <w:marRight w:val="0"/>
      <w:marTop w:val="0"/>
      <w:marBottom w:val="0"/>
      <w:divBdr>
        <w:top w:val="none" w:sz="0" w:space="0" w:color="auto"/>
        <w:left w:val="none" w:sz="0" w:space="0" w:color="auto"/>
        <w:bottom w:val="none" w:sz="0" w:space="0" w:color="auto"/>
        <w:right w:val="none" w:sz="0" w:space="0" w:color="auto"/>
      </w:divBdr>
    </w:div>
    <w:div w:id="961420530">
      <w:bodyDiv w:val="1"/>
      <w:marLeft w:val="0"/>
      <w:marRight w:val="0"/>
      <w:marTop w:val="0"/>
      <w:marBottom w:val="0"/>
      <w:divBdr>
        <w:top w:val="none" w:sz="0" w:space="0" w:color="auto"/>
        <w:left w:val="none" w:sz="0" w:space="0" w:color="auto"/>
        <w:bottom w:val="none" w:sz="0" w:space="0" w:color="auto"/>
        <w:right w:val="none" w:sz="0" w:space="0" w:color="auto"/>
      </w:divBdr>
    </w:div>
    <w:div w:id="982808066">
      <w:bodyDiv w:val="1"/>
      <w:marLeft w:val="0"/>
      <w:marRight w:val="0"/>
      <w:marTop w:val="0"/>
      <w:marBottom w:val="0"/>
      <w:divBdr>
        <w:top w:val="none" w:sz="0" w:space="0" w:color="auto"/>
        <w:left w:val="none" w:sz="0" w:space="0" w:color="auto"/>
        <w:bottom w:val="none" w:sz="0" w:space="0" w:color="auto"/>
        <w:right w:val="none" w:sz="0" w:space="0" w:color="auto"/>
      </w:divBdr>
    </w:div>
    <w:div w:id="1018431291">
      <w:bodyDiv w:val="1"/>
      <w:marLeft w:val="0"/>
      <w:marRight w:val="0"/>
      <w:marTop w:val="0"/>
      <w:marBottom w:val="0"/>
      <w:divBdr>
        <w:top w:val="none" w:sz="0" w:space="0" w:color="auto"/>
        <w:left w:val="none" w:sz="0" w:space="0" w:color="auto"/>
        <w:bottom w:val="none" w:sz="0" w:space="0" w:color="auto"/>
        <w:right w:val="none" w:sz="0" w:space="0" w:color="auto"/>
      </w:divBdr>
      <w:divsChild>
        <w:div w:id="260112511">
          <w:marLeft w:val="0"/>
          <w:marRight w:val="0"/>
          <w:marTop w:val="0"/>
          <w:marBottom w:val="0"/>
          <w:divBdr>
            <w:top w:val="none" w:sz="0" w:space="0" w:color="auto"/>
            <w:left w:val="none" w:sz="0" w:space="0" w:color="auto"/>
            <w:bottom w:val="none" w:sz="0" w:space="0" w:color="auto"/>
            <w:right w:val="none" w:sz="0" w:space="0" w:color="auto"/>
          </w:divBdr>
          <w:divsChild>
            <w:div w:id="960496190">
              <w:marLeft w:val="0"/>
              <w:marRight w:val="0"/>
              <w:marTop w:val="0"/>
              <w:marBottom w:val="0"/>
              <w:divBdr>
                <w:top w:val="none" w:sz="0" w:space="0" w:color="auto"/>
                <w:left w:val="none" w:sz="0" w:space="0" w:color="auto"/>
                <w:bottom w:val="none" w:sz="0" w:space="0" w:color="auto"/>
                <w:right w:val="none" w:sz="0" w:space="0" w:color="auto"/>
              </w:divBdr>
              <w:divsChild>
                <w:div w:id="1698192949">
                  <w:marLeft w:val="0"/>
                  <w:marRight w:val="0"/>
                  <w:marTop w:val="0"/>
                  <w:marBottom w:val="0"/>
                  <w:divBdr>
                    <w:top w:val="none" w:sz="0" w:space="0" w:color="auto"/>
                    <w:left w:val="none" w:sz="0" w:space="0" w:color="auto"/>
                    <w:bottom w:val="none" w:sz="0" w:space="0" w:color="auto"/>
                    <w:right w:val="none" w:sz="0" w:space="0" w:color="auto"/>
                  </w:divBdr>
                  <w:divsChild>
                    <w:div w:id="1927032621">
                      <w:marLeft w:val="0"/>
                      <w:marRight w:val="0"/>
                      <w:marTop w:val="0"/>
                      <w:marBottom w:val="0"/>
                      <w:divBdr>
                        <w:top w:val="none" w:sz="0" w:space="0" w:color="auto"/>
                        <w:left w:val="none" w:sz="0" w:space="0" w:color="auto"/>
                        <w:bottom w:val="none" w:sz="0" w:space="0" w:color="auto"/>
                        <w:right w:val="none" w:sz="0" w:space="0" w:color="auto"/>
                      </w:divBdr>
                      <w:divsChild>
                        <w:div w:id="477262462">
                          <w:marLeft w:val="0"/>
                          <w:marRight w:val="0"/>
                          <w:marTop w:val="0"/>
                          <w:marBottom w:val="0"/>
                          <w:divBdr>
                            <w:top w:val="none" w:sz="0" w:space="0" w:color="auto"/>
                            <w:left w:val="none" w:sz="0" w:space="0" w:color="auto"/>
                            <w:bottom w:val="none" w:sz="0" w:space="0" w:color="auto"/>
                            <w:right w:val="none" w:sz="0" w:space="0" w:color="auto"/>
                          </w:divBdr>
                          <w:divsChild>
                            <w:div w:id="173807361">
                              <w:marLeft w:val="0"/>
                              <w:marRight w:val="0"/>
                              <w:marTop w:val="0"/>
                              <w:marBottom w:val="0"/>
                              <w:divBdr>
                                <w:top w:val="none" w:sz="0" w:space="0" w:color="auto"/>
                                <w:left w:val="none" w:sz="0" w:space="0" w:color="auto"/>
                                <w:bottom w:val="none" w:sz="0" w:space="0" w:color="auto"/>
                                <w:right w:val="none" w:sz="0" w:space="0" w:color="auto"/>
                              </w:divBdr>
                              <w:divsChild>
                                <w:div w:id="336856004">
                                  <w:marLeft w:val="0"/>
                                  <w:marRight w:val="0"/>
                                  <w:marTop w:val="0"/>
                                  <w:marBottom w:val="0"/>
                                  <w:divBdr>
                                    <w:top w:val="none" w:sz="0" w:space="0" w:color="auto"/>
                                    <w:left w:val="none" w:sz="0" w:space="0" w:color="auto"/>
                                    <w:bottom w:val="none" w:sz="0" w:space="0" w:color="auto"/>
                                    <w:right w:val="none" w:sz="0" w:space="0" w:color="auto"/>
                                  </w:divBdr>
                                  <w:divsChild>
                                    <w:div w:id="1928537571">
                                      <w:marLeft w:val="0"/>
                                      <w:marRight w:val="0"/>
                                      <w:marTop w:val="0"/>
                                      <w:marBottom w:val="0"/>
                                      <w:divBdr>
                                        <w:top w:val="none" w:sz="0" w:space="0" w:color="auto"/>
                                        <w:left w:val="none" w:sz="0" w:space="0" w:color="auto"/>
                                        <w:bottom w:val="none" w:sz="0" w:space="0" w:color="auto"/>
                                        <w:right w:val="none" w:sz="0" w:space="0" w:color="auto"/>
                                      </w:divBdr>
                                      <w:divsChild>
                                        <w:div w:id="1050377448">
                                          <w:marLeft w:val="0"/>
                                          <w:marRight w:val="0"/>
                                          <w:marTop w:val="0"/>
                                          <w:marBottom w:val="0"/>
                                          <w:divBdr>
                                            <w:top w:val="none" w:sz="0" w:space="0" w:color="auto"/>
                                            <w:left w:val="none" w:sz="0" w:space="0" w:color="auto"/>
                                            <w:bottom w:val="none" w:sz="0" w:space="0" w:color="auto"/>
                                            <w:right w:val="none" w:sz="0" w:space="0" w:color="auto"/>
                                          </w:divBdr>
                                          <w:divsChild>
                                            <w:div w:id="84109337">
                                              <w:marLeft w:val="0"/>
                                              <w:marRight w:val="0"/>
                                              <w:marTop w:val="0"/>
                                              <w:marBottom w:val="0"/>
                                              <w:divBdr>
                                                <w:top w:val="none" w:sz="0" w:space="0" w:color="auto"/>
                                                <w:left w:val="none" w:sz="0" w:space="0" w:color="auto"/>
                                                <w:bottom w:val="none" w:sz="0" w:space="0" w:color="auto"/>
                                                <w:right w:val="none" w:sz="0" w:space="0" w:color="auto"/>
                                              </w:divBdr>
                                              <w:divsChild>
                                                <w:div w:id="209000016">
                                                  <w:marLeft w:val="0"/>
                                                  <w:marRight w:val="0"/>
                                                  <w:marTop w:val="0"/>
                                                  <w:marBottom w:val="0"/>
                                                  <w:divBdr>
                                                    <w:top w:val="none" w:sz="0" w:space="0" w:color="auto"/>
                                                    <w:left w:val="none" w:sz="0" w:space="0" w:color="auto"/>
                                                    <w:bottom w:val="none" w:sz="0" w:space="0" w:color="auto"/>
                                                    <w:right w:val="none" w:sz="0" w:space="0" w:color="auto"/>
                                                  </w:divBdr>
                                                  <w:divsChild>
                                                    <w:div w:id="130681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134109">
          <w:marLeft w:val="0"/>
          <w:marRight w:val="0"/>
          <w:marTop w:val="0"/>
          <w:marBottom w:val="0"/>
          <w:divBdr>
            <w:top w:val="none" w:sz="0" w:space="0" w:color="auto"/>
            <w:left w:val="none" w:sz="0" w:space="0" w:color="auto"/>
            <w:bottom w:val="none" w:sz="0" w:space="0" w:color="auto"/>
            <w:right w:val="none" w:sz="0" w:space="0" w:color="auto"/>
          </w:divBdr>
          <w:divsChild>
            <w:div w:id="550849514">
              <w:marLeft w:val="0"/>
              <w:marRight w:val="0"/>
              <w:marTop w:val="0"/>
              <w:marBottom w:val="0"/>
              <w:divBdr>
                <w:top w:val="none" w:sz="0" w:space="0" w:color="auto"/>
                <w:left w:val="none" w:sz="0" w:space="0" w:color="auto"/>
                <w:bottom w:val="none" w:sz="0" w:space="0" w:color="auto"/>
                <w:right w:val="none" w:sz="0" w:space="0" w:color="auto"/>
              </w:divBdr>
              <w:divsChild>
                <w:div w:id="1754661856">
                  <w:marLeft w:val="0"/>
                  <w:marRight w:val="0"/>
                  <w:marTop w:val="0"/>
                  <w:marBottom w:val="0"/>
                  <w:divBdr>
                    <w:top w:val="none" w:sz="0" w:space="0" w:color="auto"/>
                    <w:left w:val="none" w:sz="0" w:space="0" w:color="auto"/>
                    <w:bottom w:val="none" w:sz="0" w:space="0" w:color="auto"/>
                    <w:right w:val="none" w:sz="0" w:space="0" w:color="auto"/>
                  </w:divBdr>
                  <w:divsChild>
                    <w:div w:id="1473014904">
                      <w:marLeft w:val="0"/>
                      <w:marRight w:val="0"/>
                      <w:marTop w:val="0"/>
                      <w:marBottom w:val="0"/>
                      <w:divBdr>
                        <w:top w:val="none" w:sz="0" w:space="0" w:color="auto"/>
                        <w:left w:val="none" w:sz="0" w:space="0" w:color="auto"/>
                        <w:bottom w:val="none" w:sz="0" w:space="0" w:color="auto"/>
                        <w:right w:val="none" w:sz="0" w:space="0" w:color="auto"/>
                      </w:divBdr>
                      <w:divsChild>
                        <w:div w:id="44665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943043">
      <w:bodyDiv w:val="1"/>
      <w:marLeft w:val="0"/>
      <w:marRight w:val="0"/>
      <w:marTop w:val="0"/>
      <w:marBottom w:val="0"/>
      <w:divBdr>
        <w:top w:val="none" w:sz="0" w:space="0" w:color="auto"/>
        <w:left w:val="none" w:sz="0" w:space="0" w:color="auto"/>
        <w:bottom w:val="none" w:sz="0" w:space="0" w:color="auto"/>
        <w:right w:val="none" w:sz="0" w:space="0" w:color="auto"/>
      </w:divBdr>
    </w:div>
    <w:div w:id="1026295889">
      <w:bodyDiv w:val="1"/>
      <w:marLeft w:val="0"/>
      <w:marRight w:val="0"/>
      <w:marTop w:val="0"/>
      <w:marBottom w:val="0"/>
      <w:divBdr>
        <w:top w:val="none" w:sz="0" w:space="0" w:color="auto"/>
        <w:left w:val="none" w:sz="0" w:space="0" w:color="auto"/>
        <w:bottom w:val="none" w:sz="0" w:space="0" w:color="auto"/>
        <w:right w:val="none" w:sz="0" w:space="0" w:color="auto"/>
      </w:divBdr>
    </w:div>
    <w:div w:id="1040980302">
      <w:bodyDiv w:val="1"/>
      <w:marLeft w:val="0"/>
      <w:marRight w:val="0"/>
      <w:marTop w:val="0"/>
      <w:marBottom w:val="0"/>
      <w:divBdr>
        <w:top w:val="none" w:sz="0" w:space="0" w:color="auto"/>
        <w:left w:val="none" w:sz="0" w:space="0" w:color="auto"/>
        <w:bottom w:val="none" w:sz="0" w:space="0" w:color="auto"/>
        <w:right w:val="none" w:sz="0" w:space="0" w:color="auto"/>
      </w:divBdr>
    </w:div>
    <w:div w:id="1064571165">
      <w:bodyDiv w:val="1"/>
      <w:marLeft w:val="0"/>
      <w:marRight w:val="0"/>
      <w:marTop w:val="0"/>
      <w:marBottom w:val="0"/>
      <w:divBdr>
        <w:top w:val="none" w:sz="0" w:space="0" w:color="auto"/>
        <w:left w:val="none" w:sz="0" w:space="0" w:color="auto"/>
        <w:bottom w:val="none" w:sz="0" w:space="0" w:color="auto"/>
        <w:right w:val="none" w:sz="0" w:space="0" w:color="auto"/>
      </w:divBdr>
    </w:div>
    <w:div w:id="1067024162">
      <w:bodyDiv w:val="1"/>
      <w:marLeft w:val="0"/>
      <w:marRight w:val="0"/>
      <w:marTop w:val="0"/>
      <w:marBottom w:val="0"/>
      <w:divBdr>
        <w:top w:val="none" w:sz="0" w:space="0" w:color="auto"/>
        <w:left w:val="none" w:sz="0" w:space="0" w:color="auto"/>
        <w:bottom w:val="none" w:sz="0" w:space="0" w:color="auto"/>
        <w:right w:val="none" w:sz="0" w:space="0" w:color="auto"/>
      </w:divBdr>
    </w:div>
    <w:div w:id="1091971941">
      <w:bodyDiv w:val="1"/>
      <w:marLeft w:val="0"/>
      <w:marRight w:val="0"/>
      <w:marTop w:val="0"/>
      <w:marBottom w:val="0"/>
      <w:divBdr>
        <w:top w:val="none" w:sz="0" w:space="0" w:color="auto"/>
        <w:left w:val="none" w:sz="0" w:space="0" w:color="auto"/>
        <w:bottom w:val="none" w:sz="0" w:space="0" w:color="auto"/>
        <w:right w:val="none" w:sz="0" w:space="0" w:color="auto"/>
      </w:divBdr>
    </w:div>
    <w:div w:id="1105424074">
      <w:bodyDiv w:val="1"/>
      <w:marLeft w:val="0"/>
      <w:marRight w:val="0"/>
      <w:marTop w:val="0"/>
      <w:marBottom w:val="0"/>
      <w:divBdr>
        <w:top w:val="none" w:sz="0" w:space="0" w:color="auto"/>
        <w:left w:val="none" w:sz="0" w:space="0" w:color="auto"/>
        <w:bottom w:val="none" w:sz="0" w:space="0" w:color="auto"/>
        <w:right w:val="none" w:sz="0" w:space="0" w:color="auto"/>
      </w:divBdr>
    </w:div>
    <w:div w:id="1108156553">
      <w:bodyDiv w:val="1"/>
      <w:marLeft w:val="0"/>
      <w:marRight w:val="0"/>
      <w:marTop w:val="0"/>
      <w:marBottom w:val="0"/>
      <w:divBdr>
        <w:top w:val="none" w:sz="0" w:space="0" w:color="auto"/>
        <w:left w:val="none" w:sz="0" w:space="0" w:color="auto"/>
        <w:bottom w:val="none" w:sz="0" w:space="0" w:color="auto"/>
        <w:right w:val="none" w:sz="0" w:space="0" w:color="auto"/>
      </w:divBdr>
    </w:div>
    <w:div w:id="1108617670">
      <w:bodyDiv w:val="1"/>
      <w:marLeft w:val="0"/>
      <w:marRight w:val="0"/>
      <w:marTop w:val="0"/>
      <w:marBottom w:val="0"/>
      <w:divBdr>
        <w:top w:val="none" w:sz="0" w:space="0" w:color="auto"/>
        <w:left w:val="none" w:sz="0" w:space="0" w:color="auto"/>
        <w:bottom w:val="none" w:sz="0" w:space="0" w:color="auto"/>
        <w:right w:val="none" w:sz="0" w:space="0" w:color="auto"/>
      </w:divBdr>
    </w:div>
    <w:div w:id="1118642062">
      <w:bodyDiv w:val="1"/>
      <w:marLeft w:val="0"/>
      <w:marRight w:val="0"/>
      <w:marTop w:val="0"/>
      <w:marBottom w:val="0"/>
      <w:divBdr>
        <w:top w:val="none" w:sz="0" w:space="0" w:color="auto"/>
        <w:left w:val="none" w:sz="0" w:space="0" w:color="auto"/>
        <w:bottom w:val="none" w:sz="0" w:space="0" w:color="auto"/>
        <w:right w:val="none" w:sz="0" w:space="0" w:color="auto"/>
      </w:divBdr>
    </w:div>
    <w:div w:id="1120028038">
      <w:bodyDiv w:val="1"/>
      <w:marLeft w:val="0"/>
      <w:marRight w:val="0"/>
      <w:marTop w:val="0"/>
      <w:marBottom w:val="0"/>
      <w:divBdr>
        <w:top w:val="none" w:sz="0" w:space="0" w:color="auto"/>
        <w:left w:val="none" w:sz="0" w:space="0" w:color="auto"/>
        <w:bottom w:val="none" w:sz="0" w:space="0" w:color="auto"/>
        <w:right w:val="none" w:sz="0" w:space="0" w:color="auto"/>
      </w:divBdr>
    </w:div>
    <w:div w:id="1123814931">
      <w:bodyDiv w:val="1"/>
      <w:marLeft w:val="0"/>
      <w:marRight w:val="0"/>
      <w:marTop w:val="0"/>
      <w:marBottom w:val="0"/>
      <w:divBdr>
        <w:top w:val="none" w:sz="0" w:space="0" w:color="auto"/>
        <w:left w:val="none" w:sz="0" w:space="0" w:color="auto"/>
        <w:bottom w:val="none" w:sz="0" w:space="0" w:color="auto"/>
        <w:right w:val="none" w:sz="0" w:space="0" w:color="auto"/>
      </w:divBdr>
    </w:div>
    <w:div w:id="1130981129">
      <w:bodyDiv w:val="1"/>
      <w:marLeft w:val="0"/>
      <w:marRight w:val="0"/>
      <w:marTop w:val="0"/>
      <w:marBottom w:val="0"/>
      <w:divBdr>
        <w:top w:val="none" w:sz="0" w:space="0" w:color="auto"/>
        <w:left w:val="none" w:sz="0" w:space="0" w:color="auto"/>
        <w:bottom w:val="none" w:sz="0" w:space="0" w:color="auto"/>
        <w:right w:val="none" w:sz="0" w:space="0" w:color="auto"/>
      </w:divBdr>
    </w:div>
    <w:div w:id="1142969467">
      <w:bodyDiv w:val="1"/>
      <w:marLeft w:val="0"/>
      <w:marRight w:val="0"/>
      <w:marTop w:val="0"/>
      <w:marBottom w:val="0"/>
      <w:divBdr>
        <w:top w:val="none" w:sz="0" w:space="0" w:color="auto"/>
        <w:left w:val="none" w:sz="0" w:space="0" w:color="auto"/>
        <w:bottom w:val="none" w:sz="0" w:space="0" w:color="auto"/>
        <w:right w:val="none" w:sz="0" w:space="0" w:color="auto"/>
      </w:divBdr>
    </w:div>
    <w:div w:id="1143502137">
      <w:bodyDiv w:val="1"/>
      <w:marLeft w:val="0"/>
      <w:marRight w:val="0"/>
      <w:marTop w:val="0"/>
      <w:marBottom w:val="0"/>
      <w:divBdr>
        <w:top w:val="none" w:sz="0" w:space="0" w:color="auto"/>
        <w:left w:val="none" w:sz="0" w:space="0" w:color="auto"/>
        <w:bottom w:val="none" w:sz="0" w:space="0" w:color="auto"/>
        <w:right w:val="none" w:sz="0" w:space="0" w:color="auto"/>
      </w:divBdr>
    </w:div>
    <w:div w:id="1169098450">
      <w:bodyDiv w:val="1"/>
      <w:marLeft w:val="0"/>
      <w:marRight w:val="0"/>
      <w:marTop w:val="0"/>
      <w:marBottom w:val="0"/>
      <w:divBdr>
        <w:top w:val="none" w:sz="0" w:space="0" w:color="auto"/>
        <w:left w:val="none" w:sz="0" w:space="0" w:color="auto"/>
        <w:bottom w:val="none" w:sz="0" w:space="0" w:color="auto"/>
        <w:right w:val="none" w:sz="0" w:space="0" w:color="auto"/>
      </w:divBdr>
    </w:div>
    <w:div w:id="1183056483">
      <w:bodyDiv w:val="1"/>
      <w:marLeft w:val="0"/>
      <w:marRight w:val="0"/>
      <w:marTop w:val="0"/>
      <w:marBottom w:val="0"/>
      <w:divBdr>
        <w:top w:val="none" w:sz="0" w:space="0" w:color="auto"/>
        <w:left w:val="none" w:sz="0" w:space="0" w:color="auto"/>
        <w:bottom w:val="none" w:sz="0" w:space="0" w:color="auto"/>
        <w:right w:val="none" w:sz="0" w:space="0" w:color="auto"/>
      </w:divBdr>
    </w:div>
    <w:div w:id="1188254799">
      <w:bodyDiv w:val="1"/>
      <w:marLeft w:val="0"/>
      <w:marRight w:val="0"/>
      <w:marTop w:val="0"/>
      <w:marBottom w:val="0"/>
      <w:divBdr>
        <w:top w:val="none" w:sz="0" w:space="0" w:color="auto"/>
        <w:left w:val="none" w:sz="0" w:space="0" w:color="auto"/>
        <w:bottom w:val="none" w:sz="0" w:space="0" w:color="auto"/>
        <w:right w:val="none" w:sz="0" w:space="0" w:color="auto"/>
      </w:divBdr>
    </w:div>
    <w:div w:id="1192958443">
      <w:bodyDiv w:val="1"/>
      <w:marLeft w:val="0"/>
      <w:marRight w:val="0"/>
      <w:marTop w:val="0"/>
      <w:marBottom w:val="0"/>
      <w:divBdr>
        <w:top w:val="none" w:sz="0" w:space="0" w:color="auto"/>
        <w:left w:val="none" w:sz="0" w:space="0" w:color="auto"/>
        <w:bottom w:val="none" w:sz="0" w:space="0" w:color="auto"/>
        <w:right w:val="none" w:sz="0" w:space="0" w:color="auto"/>
      </w:divBdr>
    </w:div>
    <w:div w:id="1200237954">
      <w:bodyDiv w:val="1"/>
      <w:marLeft w:val="0"/>
      <w:marRight w:val="0"/>
      <w:marTop w:val="0"/>
      <w:marBottom w:val="0"/>
      <w:divBdr>
        <w:top w:val="none" w:sz="0" w:space="0" w:color="auto"/>
        <w:left w:val="none" w:sz="0" w:space="0" w:color="auto"/>
        <w:bottom w:val="none" w:sz="0" w:space="0" w:color="auto"/>
        <w:right w:val="none" w:sz="0" w:space="0" w:color="auto"/>
      </w:divBdr>
    </w:div>
    <w:div w:id="1212644570">
      <w:bodyDiv w:val="1"/>
      <w:marLeft w:val="0"/>
      <w:marRight w:val="0"/>
      <w:marTop w:val="0"/>
      <w:marBottom w:val="0"/>
      <w:divBdr>
        <w:top w:val="none" w:sz="0" w:space="0" w:color="auto"/>
        <w:left w:val="none" w:sz="0" w:space="0" w:color="auto"/>
        <w:bottom w:val="none" w:sz="0" w:space="0" w:color="auto"/>
        <w:right w:val="none" w:sz="0" w:space="0" w:color="auto"/>
      </w:divBdr>
    </w:div>
    <w:div w:id="1223564595">
      <w:bodyDiv w:val="1"/>
      <w:marLeft w:val="0"/>
      <w:marRight w:val="0"/>
      <w:marTop w:val="0"/>
      <w:marBottom w:val="0"/>
      <w:divBdr>
        <w:top w:val="none" w:sz="0" w:space="0" w:color="auto"/>
        <w:left w:val="none" w:sz="0" w:space="0" w:color="auto"/>
        <w:bottom w:val="none" w:sz="0" w:space="0" w:color="auto"/>
        <w:right w:val="none" w:sz="0" w:space="0" w:color="auto"/>
      </w:divBdr>
    </w:div>
    <w:div w:id="1240603875">
      <w:bodyDiv w:val="1"/>
      <w:marLeft w:val="0"/>
      <w:marRight w:val="0"/>
      <w:marTop w:val="0"/>
      <w:marBottom w:val="0"/>
      <w:divBdr>
        <w:top w:val="none" w:sz="0" w:space="0" w:color="auto"/>
        <w:left w:val="none" w:sz="0" w:space="0" w:color="auto"/>
        <w:bottom w:val="none" w:sz="0" w:space="0" w:color="auto"/>
        <w:right w:val="none" w:sz="0" w:space="0" w:color="auto"/>
      </w:divBdr>
    </w:div>
    <w:div w:id="1244604139">
      <w:bodyDiv w:val="1"/>
      <w:marLeft w:val="0"/>
      <w:marRight w:val="0"/>
      <w:marTop w:val="0"/>
      <w:marBottom w:val="0"/>
      <w:divBdr>
        <w:top w:val="none" w:sz="0" w:space="0" w:color="auto"/>
        <w:left w:val="none" w:sz="0" w:space="0" w:color="auto"/>
        <w:bottom w:val="none" w:sz="0" w:space="0" w:color="auto"/>
        <w:right w:val="none" w:sz="0" w:space="0" w:color="auto"/>
      </w:divBdr>
    </w:div>
    <w:div w:id="1245064206">
      <w:bodyDiv w:val="1"/>
      <w:marLeft w:val="0"/>
      <w:marRight w:val="0"/>
      <w:marTop w:val="0"/>
      <w:marBottom w:val="0"/>
      <w:divBdr>
        <w:top w:val="none" w:sz="0" w:space="0" w:color="auto"/>
        <w:left w:val="none" w:sz="0" w:space="0" w:color="auto"/>
        <w:bottom w:val="none" w:sz="0" w:space="0" w:color="auto"/>
        <w:right w:val="none" w:sz="0" w:space="0" w:color="auto"/>
      </w:divBdr>
    </w:div>
    <w:div w:id="1245069773">
      <w:bodyDiv w:val="1"/>
      <w:marLeft w:val="0"/>
      <w:marRight w:val="0"/>
      <w:marTop w:val="0"/>
      <w:marBottom w:val="0"/>
      <w:divBdr>
        <w:top w:val="none" w:sz="0" w:space="0" w:color="auto"/>
        <w:left w:val="none" w:sz="0" w:space="0" w:color="auto"/>
        <w:bottom w:val="none" w:sz="0" w:space="0" w:color="auto"/>
        <w:right w:val="none" w:sz="0" w:space="0" w:color="auto"/>
      </w:divBdr>
    </w:div>
    <w:div w:id="1253582825">
      <w:bodyDiv w:val="1"/>
      <w:marLeft w:val="0"/>
      <w:marRight w:val="0"/>
      <w:marTop w:val="0"/>
      <w:marBottom w:val="0"/>
      <w:divBdr>
        <w:top w:val="none" w:sz="0" w:space="0" w:color="auto"/>
        <w:left w:val="none" w:sz="0" w:space="0" w:color="auto"/>
        <w:bottom w:val="none" w:sz="0" w:space="0" w:color="auto"/>
        <w:right w:val="none" w:sz="0" w:space="0" w:color="auto"/>
      </w:divBdr>
    </w:div>
    <w:div w:id="1265453179">
      <w:bodyDiv w:val="1"/>
      <w:marLeft w:val="0"/>
      <w:marRight w:val="0"/>
      <w:marTop w:val="0"/>
      <w:marBottom w:val="0"/>
      <w:divBdr>
        <w:top w:val="none" w:sz="0" w:space="0" w:color="auto"/>
        <w:left w:val="none" w:sz="0" w:space="0" w:color="auto"/>
        <w:bottom w:val="none" w:sz="0" w:space="0" w:color="auto"/>
        <w:right w:val="none" w:sz="0" w:space="0" w:color="auto"/>
      </w:divBdr>
    </w:div>
    <w:div w:id="1282152044">
      <w:bodyDiv w:val="1"/>
      <w:marLeft w:val="0"/>
      <w:marRight w:val="0"/>
      <w:marTop w:val="0"/>
      <w:marBottom w:val="0"/>
      <w:divBdr>
        <w:top w:val="none" w:sz="0" w:space="0" w:color="auto"/>
        <w:left w:val="none" w:sz="0" w:space="0" w:color="auto"/>
        <w:bottom w:val="none" w:sz="0" w:space="0" w:color="auto"/>
        <w:right w:val="none" w:sz="0" w:space="0" w:color="auto"/>
      </w:divBdr>
    </w:div>
    <w:div w:id="1318652031">
      <w:bodyDiv w:val="1"/>
      <w:marLeft w:val="0"/>
      <w:marRight w:val="0"/>
      <w:marTop w:val="0"/>
      <w:marBottom w:val="0"/>
      <w:divBdr>
        <w:top w:val="none" w:sz="0" w:space="0" w:color="auto"/>
        <w:left w:val="none" w:sz="0" w:space="0" w:color="auto"/>
        <w:bottom w:val="none" w:sz="0" w:space="0" w:color="auto"/>
        <w:right w:val="none" w:sz="0" w:space="0" w:color="auto"/>
      </w:divBdr>
    </w:div>
    <w:div w:id="1320229896">
      <w:bodyDiv w:val="1"/>
      <w:marLeft w:val="0"/>
      <w:marRight w:val="0"/>
      <w:marTop w:val="0"/>
      <w:marBottom w:val="0"/>
      <w:divBdr>
        <w:top w:val="none" w:sz="0" w:space="0" w:color="auto"/>
        <w:left w:val="none" w:sz="0" w:space="0" w:color="auto"/>
        <w:bottom w:val="none" w:sz="0" w:space="0" w:color="auto"/>
        <w:right w:val="none" w:sz="0" w:space="0" w:color="auto"/>
      </w:divBdr>
    </w:div>
    <w:div w:id="1325863638">
      <w:bodyDiv w:val="1"/>
      <w:marLeft w:val="0"/>
      <w:marRight w:val="0"/>
      <w:marTop w:val="0"/>
      <w:marBottom w:val="0"/>
      <w:divBdr>
        <w:top w:val="none" w:sz="0" w:space="0" w:color="auto"/>
        <w:left w:val="none" w:sz="0" w:space="0" w:color="auto"/>
        <w:bottom w:val="none" w:sz="0" w:space="0" w:color="auto"/>
        <w:right w:val="none" w:sz="0" w:space="0" w:color="auto"/>
      </w:divBdr>
    </w:div>
    <w:div w:id="1329135789">
      <w:bodyDiv w:val="1"/>
      <w:marLeft w:val="0"/>
      <w:marRight w:val="0"/>
      <w:marTop w:val="0"/>
      <w:marBottom w:val="0"/>
      <w:divBdr>
        <w:top w:val="none" w:sz="0" w:space="0" w:color="auto"/>
        <w:left w:val="none" w:sz="0" w:space="0" w:color="auto"/>
        <w:bottom w:val="none" w:sz="0" w:space="0" w:color="auto"/>
        <w:right w:val="none" w:sz="0" w:space="0" w:color="auto"/>
      </w:divBdr>
    </w:div>
    <w:div w:id="1330595064">
      <w:bodyDiv w:val="1"/>
      <w:marLeft w:val="0"/>
      <w:marRight w:val="0"/>
      <w:marTop w:val="0"/>
      <w:marBottom w:val="0"/>
      <w:divBdr>
        <w:top w:val="none" w:sz="0" w:space="0" w:color="auto"/>
        <w:left w:val="none" w:sz="0" w:space="0" w:color="auto"/>
        <w:bottom w:val="none" w:sz="0" w:space="0" w:color="auto"/>
        <w:right w:val="none" w:sz="0" w:space="0" w:color="auto"/>
      </w:divBdr>
    </w:div>
    <w:div w:id="1331761355">
      <w:bodyDiv w:val="1"/>
      <w:marLeft w:val="0"/>
      <w:marRight w:val="0"/>
      <w:marTop w:val="0"/>
      <w:marBottom w:val="0"/>
      <w:divBdr>
        <w:top w:val="none" w:sz="0" w:space="0" w:color="auto"/>
        <w:left w:val="none" w:sz="0" w:space="0" w:color="auto"/>
        <w:bottom w:val="none" w:sz="0" w:space="0" w:color="auto"/>
        <w:right w:val="none" w:sz="0" w:space="0" w:color="auto"/>
      </w:divBdr>
    </w:div>
    <w:div w:id="1336106120">
      <w:bodyDiv w:val="1"/>
      <w:marLeft w:val="0"/>
      <w:marRight w:val="0"/>
      <w:marTop w:val="0"/>
      <w:marBottom w:val="0"/>
      <w:divBdr>
        <w:top w:val="none" w:sz="0" w:space="0" w:color="auto"/>
        <w:left w:val="none" w:sz="0" w:space="0" w:color="auto"/>
        <w:bottom w:val="none" w:sz="0" w:space="0" w:color="auto"/>
        <w:right w:val="none" w:sz="0" w:space="0" w:color="auto"/>
      </w:divBdr>
    </w:div>
    <w:div w:id="1363870297">
      <w:bodyDiv w:val="1"/>
      <w:marLeft w:val="0"/>
      <w:marRight w:val="0"/>
      <w:marTop w:val="0"/>
      <w:marBottom w:val="0"/>
      <w:divBdr>
        <w:top w:val="none" w:sz="0" w:space="0" w:color="auto"/>
        <w:left w:val="none" w:sz="0" w:space="0" w:color="auto"/>
        <w:bottom w:val="none" w:sz="0" w:space="0" w:color="auto"/>
        <w:right w:val="none" w:sz="0" w:space="0" w:color="auto"/>
      </w:divBdr>
    </w:div>
    <w:div w:id="1380937564">
      <w:bodyDiv w:val="1"/>
      <w:marLeft w:val="0"/>
      <w:marRight w:val="0"/>
      <w:marTop w:val="0"/>
      <w:marBottom w:val="0"/>
      <w:divBdr>
        <w:top w:val="none" w:sz="0" w:space="0" w:color="auto"/>
        <w:left w:val="none" w:sz="0" w:space="0" w:color="auto"/>
        <w:bottom w:val="none" w:sz="0" w:space="0" w:color="auto"/>
        <w:right w:val="none" w:sz="0" w:space="0" w:color="auto"/>
      </w:divBdr>
    </w:div>
    <w:div w:id="1383746935">
      <w:bodyDiv w:val="1"/>
      <w:marLeft w:val="0"/>
      <w:marRight w:val="0"/>
      <w:marTop w:val="0"/>
      <w:marBottom w:val="0"/>
      <w:divBdr>
        <w:top w:val="none" w:sz="0" w:space="0" w:color="auto"/>
        <w:left w:val="none" w:sz="0" w:space="0" w:color="auto"/>
        <w:bottom w:val="none" w:sz="0" w:space="0" w:color="auto"/>
        <w:right w:val="none" w:sz="0" w:space="0" w:color="auto"/>
      </w:divBdr>
    </w:div>
    <w:div w:id="1384790870">
      <w:bodyDiv w:val="1"/>
      <w:marLeft w:val="0"/>
      <w:marRight w:val="0"/>
      <w:marTop w:val="0"/>
      <w:marBottom w:val="0"/>
      <w:divBdr>
        <w:top w:val="none" w:sz="0" w:space="0" w:color="auto"/>
        <w:left w:val="none" w:sz="0" w:space="0" w:color="auto"/>
        <w:bottom w:val="none" w:sz="0" w:space="0" w:color="auto"/>
        <w:right w:val="none" w:sz="0" w:space="0" w:color="auto"/>
      </w:divBdr>
    </w:div>
    <w:div w:id="1388841812">
      <w:bodyDiv w:val="1"/>
      <w:marLeft w:val="0"/>
      <w:marRight w:val="0"/>
      <w:marTop w:val="0"/>
      <w:marBottom w:val="0"/>
      <w:divBdr>
        <w:top w:val="none" w:sz="0" w:space="0" w:color="auto"/>
        <w:left w:val="none" w:sz="0" w:space="0" w:color="auto"/>
        <w:bottom w:val="none" w:sz="0" w:space="0" w:color="auto"/>
        <w:right w:val="none" w:sz="0" w:space="0" w:color="auto"/>
      </w:divBdr>
      <w:divsChild>
        <w:div w:id="1818453475">
          <w:marLeft w:val="0"/>
          <w:marRight w:val="0"/>
          <w:marTop w:val="0"/>
          <w:marBottom w:val="0"/>
          <w:divBdr>
            <w:top w:val="none" w:sz="0" w:space="0" w:color="auto"/>
            <w:left w:val="none" w:sz="0" w:space="0" w:color="auto"/>
            <w:bottom w:val="none" w:sz="0" w:space="0" w:color="auto"/>
            <w:right w:val="none" w:sz="0" w:space="0" w:color="auto"/>
          </w:divBdr>
          <w:divsChild>
            <w:div w:id="806357589">
              <w:marLeft w:val="0"/>
              <w:marRight w:val="0"/>
              <w:marTop w:val="0"/>
              <w:marBottom w:val="0"/>
              <w:divBdr>
                <w:top w:val="none" w:sz="0" w:space="0" w:color="auto"/>
                <w:left w:val="none" w:sz="0" w:space="0" w:color="auto"/>
                <w:bottom w:val="none" w:sz="0" w:space="0" w:color="auto"/>
                <w:right w:val="none" w:sz="0" w:space="0" w:color="auto"/>
              </w:divBdr>
              <w:divsChild>
                <w:div w:id="747113277">
                  <w:marLeft w:val="0"/>
                  <w:marRight w:val="0"/>
                  <w:marTop w:val="0"/>
                  <w:marBottom w:val="0"/>
                  <w:divBdr>
                    <w:top w:val="none" w:sz="0" w:space="0" w:color="auto"/>
                    <w:left w:val="none" w:sz="0" w:space="0" w:color="auto"/>
                    <w:bottom w:val="none" w:sz="0" w:space="0" w:color="auto"/>
                    <w:right w:val="none" w:sz="0" w:space="0" w:color="auto"/>
                  </w:divBdr>
                  <w:divsChild>
                    <w:div w:id="1467119178">
                      <w:marLeft w:val="0"/>
                      <w:marRight w:val="0"/>
                      <w:marTop w:val="0"/>
                      <w:marBottom w:val="0"/>
                      <w:divBdr>
                        <w:top w:val="none" w:sz="0" w:space="0" w:color="auto"/>
                        <w:left w:val="none" w:sz="0" w:space="0" w:color="auto"/>
                        <w:bottom w:val="none" w:sz="0" w:space="0" w:color="auto"/>
                        <w:right w:val="none" w:sz="0" w:space="0" w:color="auto"/>
                      </w:divBdr>
                      <w:divsChild>
                        <w:div w:id="419761265">
                          <w:marLeft w:val="0"/>
                          <w:marRight w:val="0"/>
                          <w:marTop w:val="0"/>
                          <w:marBottom w:val="0"/>
                          <w:divBdr>
                            <w:top w:val="none" w:sz="0" w:space="0" w:color="auto"/>
                            <w:left w:val="none" w:sz="0" w:space="0" w:color="auto"/>
                            <w:bottom w:val="none" w:sz="0" w:space="0" w:color="auto"/>
                            <w:right w:val="none" w:sz="0" w:space="0" w:color="auto"/>
                          </w:divBdr>
                          <w:divsChild>
                            <w:div w:id="140539850">
                              <w:marLeft w:val="-240"/>
                              <w:marRight w:val="-120"/>
                              <w:marTop w:val="0"/>
                              <w:marBottom w:val="0"/>
                              <w:divBdr>
                                <w:top w:val="none" w:sz="0" w:space="0" w:color="auto"/>
                                <w:left w:val="none" w:sz="0" w:space="0" w:color="auto"/>
                                <w:bottom w:val="none" w:sz="0" w:space="0" w:color="auto"/>
                                <w:right w:val="none" w:sz="0" w:space="0" w:color="auto"/>
                              </w:divBdr>
                              <w:divsChild>
                                <w:div w:id="1358195162">
                                  <w:marLeft w:val="0"/>
                                  <w:marRight w:val="0"/>
                                  <w:marTop w:val="0"/>
                                  <w:marBottom w:val="60"/>
                                  <w:divBdr>
                                    <w:top w:val="none" w:sz="0" w:space="0" w:color="auto"/>
                                    <w:left w:val="none" w:sz="0" w:space="0" w:color="auto"/>
                                    <w:bottom w:val="none" w:sz="0" w:space="0" w:color="auto"/>
                                    <w:right w:val="none" w:sz="0" w:space="0" w:color="auto"/>
                                  </w:divBdr>
                                  <w:divsChild>
                                    <w:div w:id="2003074916">
                                      <w:marLeft w:val="0"/>
                                      <w:marRight w:val="0"/>
                                      <w:marTop w:val="0"/>
                                      <w:marBottom w:val="0"/>
                                      <w:divBdr>
                                        <w:top w:val="none" w:sz="0" w:space="0" w:color="auto"/>
                                        <w:left w:val="none" w:sz="0" w:space="0" w:color="auto"/>
                                        <w:bottom w:val="none" w:sz="0" w:space="0" w:color="auto"/>
                                        <w:right w:val="none" w:sz="0" w:space="0" w:color="auto"/>
                                      </w:divBdr>
                                      <w:divsChild>
                                        <w:div w:id="525487486">
                                          <w:marLeft w:val="0"/>
                                          <w:marRight w:val="0"/>
                                          <w:marTop w:val="0"/>
                                          <w:marBottom w:val="0"/>
                                          <w:divBdr>
                                            <w:top w:val="none" w:sz="0" w:space="0" w:color="auto"/>
                                            <w:left w:val="none" w:sz="0" w:space="0" w:color="auto"/>
                                            <w:bottom w:val="none" w:sz="0" w:space="0" w:color="auto"/>
                                            <w:right w:val="none" w:sz="0" w:space="0" w:color="auto"/>
                                          </w:divBdr>
                                          <w:divsChild>
                                            <w:div w:id="1296568255">
                                              <w:marLeft w:val="0"/>
                                              <w:marRight w:val="0"/>
                                              <w:marTop w:val="0"/>
                                              <w:marBottom w:val="0"/>
                                              <w:divBdr>
                                                <w:top w:val="none" w:sz="0" w:space="0" w:color="auto"/>
                                                <w:left w:val="none" w:sz="0" w:space="0" w:color="auto"/>
                                                <w:bottom w:val="none" w:sz="0" w:space="0" w:color="auto"/>
                                                <w:right w:val="none" w:sz="0" w:space="0" w:color="auto"/>
                                              </w:divBdr>
                                              <w:divsChild>
                                                <w:div w:id="115880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580458">
          <w:marLeft w:val="0"/>
          <w:marRight w:val="0"/>
          <w:marTop w:val="0"/>
          <w:marBottom w:val="0"/>
          <w:divBdr>
            <w:top w:val="none" w:sz="0" w:space="0" w:color="auto"/>
            <w:left w:val="none" w:sz="0" w:space="0" w:color="auto"/>
            <w:bottom w:val="none" w:sz="0" w:space="0" w:color="auto"/>
            <w:right w:val="none" w:sz="0" w:space="0" w:color="auto"/>
          </w:divBdr>
          <w:divsChild>
            <w:div w:id="931202179">
              <w:marLeft w:val="0"/>
              <w:marRight w:val="0"/>
              <w:marTop w:val="0"/>
              <w:marBottom w:val="0"/>
              <w:divBdr>
                <w:top w:val="none" w:sz="0" w:space="0" w:color="auto"/>
                <w:left w:val="none" w:sz="0" w:space="0" w:color="auto"/>
                <w:bottom w:val="none" w:sz="0" w:space="0" w:color="auto"/>
                <w:right w:val="none" w:sz="0" w:space="0" w:color="auto"/>
              </w:divBdr>
              <w:divsChild>
                <w:div w:id="1401559083">
                  <w:marLeft w:val="0"/>
                  <w:marRight w:val="0"/>
                  <w:marTop w:val="0"/>
                  <w:marBottom w:val="0"/>
                  <w:divBdr>
                    <w:top w:val="none" w:sz="0" w:space="0" w:color="auto"/>
                    <w:left w:val="none" w:sz="0" w:space="0" w:color="auto"/>
                    <w:bottom w:val="none" w:sz="0" w:space="0" w:color="auto"/>
                    <w:right w:val="none" w:sz="0" w:space="0" w:color="auto"/>
                  </w:divBdr>
                  <w:divsChild>
                    <w:div w:id="971251556">
                      <w:marLeft w:val="0"/>
                      <w:marRight w:val="0"/>
                      <w:marTop w:val="0"/>
                      <w:marBottom w:val="0"/>
                      <w:divBdr>
                        <w:top w:val="none" w:sz="0" w:space="0" w:color="auto"/>
                        <w:left w:val="none" w:sz="0" w:space="0" w:color="auto"/>
                        <w:bottom w:val="none" w:sz="0" w:space="0" w:color="auto"/>
                        <w:right w:val="none" w:sz="0" w:space="0" w:color="auto"/>
                      </w:divBdr>
                      <w:divsChild>
                        <w:div w:id="372777384">
                          <w:marLeft w:val="0"/>
                          <w:marRight w:val="0"/>
                          <w:marTop w:val="0"/>
                          <w:marBottom w:val="0"/>
                          <w:divBdr>
                            <w:top w:val="none" w:sz="0" w:space="0" w:color="auto"/>
                            <w:left w:val="none" w:sz="0" w:space="0" w:color="auto"/>
                            <w:bottom w:val="none" w:sz="0" w:space="0" w:color="auto"/>
                            <w:right w:val="none" w:sz="0" w:space="0" w:color="auto"/>
                          </w:divBdr>
                          <w:divsChild>
                            <w:div w:id="16435408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983940">
      <w:bodyDiv w:val="1"/>
      <w:marLeft w:val="0"/>
      <w:marRight w:val="0"/>
      <w:marTop w:val="0"/>
      <w:marBottom w:val="0"/>
      <w:divBdr>
        <w:top w:val="none" w:sz="0" w:space="0" w:color="auto"/>
        <w:left w:val="none" w:sz="0" w:space="0" w:color="auto"/>
        <w:bottom w:val="none" w:sz="0" w:space="0" w:color="auto"/>
        <w:right w:val="none" w:sz="0" w:space="0" w:color="auto"/>
      </w:divBdr>
    </w:div>
    <w:div w:id="1402756433">
      <w:bodyDiv w:val="1"/>
      <w:marLeft w:val="0"/>
      <w:marRight w:val="0"/>
      <w:marTop w:val="0"/>
      <w:marBottom w:val="0"/>
      <w:divBdr>
        <w:top w:val="none" w:sz="0" w:space="0" w:color="auto"/>
        <w:left w:val="none" w:sz="0" w:space="0" w:color="auto"/>
        <w:bottom w:val="none" w:sz="0" w:space="0" w:color="auto"/>
        <w:right w:val="none" w:sz="0" w:space="0" w:color="auto"/>
      </w:divBdr>
    </w:div>
    <w:div w:id="1415319727">
      <w:bodyDiv w:val="1"/>
      <w:marLeft w:val="0"/>
      <w:marRight w:val="0"/>
      <w:marTop w:val="0"/>
      <w:marBottom w:val="0"/>
      <w:divBdr>
        <w:top w:val="none" w:sz="0" w:space="0" w:color="auto"/>
        <w:left w:val="none" w:sz="0" w:space="0" w:color="auto"/>
        <w:bottom w:val="none" w:sz="0" w:space="0" w:color="auto"/>
        <w:right w:val="none" w:sz="0" w:space="0" w:color="auto"/>
      </w:divBdr>
    </w:div>
    <w:div w:id="1427580975">
      <w:bodyDiv w:val="1"/>
      <w:marLeft w:val="0"/>
      <w:marRight w:val="0"/>
      <w:marTop w:val="0"/>
      <w:marBottom w:val="0"/>
      <w:divBdr>
        <w:top w:val="none" w:sz="0" w:space="0" w:color="auto"/>
        <w:left w:val="none" w:sz="0" w:space="0" w:color="auto"/>
        <w:bottom w:val="none" w:sz="0" w:space="0" w:color="auto"/>
        <w:right w:val="none" w:sz="0" w:space="0" w:color="auto"/>
      </w:divBdr>
    </w:div>
    <w:div w:id="1432748788">
      <w:bodyDiv w:val="1"/>
      <w:marLeft w:val="0"/>
      <w:marRight w:val="0"/>
      <w:marTop w:val="0"/>
      <w:marBottom w:val="0"/>
      <w:divBdr>
        <w:top w:val="none" w:sz="0" w:space="0" w:color="auto"/>
        <w:left w:val="none" w:sz="0" w:space="0" w:color="auto"/>
        <w:bottom w:val="none" w:sz="0" w:space="0" w:color="auto"/>
        <w:right w:val="none" w:sz="0" w:space="0" w:color="auto"/>
      </w:divBdr>
    </w:div>
    <w:div w:id="1448086929">
      <w:bodyDiv w:val="1"/>
      <w:marLeft w:val="0"/>
      <w:marRight w:val="0"/>
      <w:marTop w:val="0"/>
      <w:marBottom w:val="0"/>
      <w:divBdr>
        <w:top w:val="none" w:sz="0" w:space="0" w:color="auto"/>
        <w:left w:val="none" w:sz="0" w:space="0" w:color="auto"/>
        <w:bottom w:val="none" w:sz="0" w:space="0" w:color="auto"/>
        <w:right w:val="none" w:sz="0" w:space="0" w:color="auto"/>
      </w:divBdr>
    </w:div>
    <w:div w:id="1466393100">
      <w:bodyDiv w:val="1"/>
      <w:marLeft w:val="0"/>
      <w:marRight w:val="0"/>
      <w:marTop w:val="0"/>
      <w:marBottom w:val="0"/>
      <w:divBdr>
        <w:top w:val="none" w:sz="0" w:space="0" w:color="auto"/>
        <w:left w:val="none" w:sz="0" w:space="0" w:color="auto"/>
        <w:bottom w:val="none" w:sz="0" w:space="0" w:color="auto"/>
        <w:right w:val="none" w:sz="0" w:space="0" w:color="auto"/>
      </w:divBdr>
    </w:div>
    <w:div w:id="1477334806">
      <w:bodyDiv w:val="1"/>
      <w:marLeft w:val="0"/>
      <w:marRight w:val="0"/>
      <w:marTop w:val="0"/>
      <w:marBottom w:val="0"/>
      <w:divBdr>
        <w:top w:val="none" w:sz="0" w:space="0" w:color="auto"/>
        <w:left w:val="none" w:sz="0" w:space="0" w:color="auto"/>
        <w:bottom w:val="none" w:sz="0" w:space="0" w:color="auto"/>
        <w:right w:val="none" w:sz="0" w:space="0" w:color="auto"/>
      </w:divBdr>
    </w:div>
    <w:div w:id="1486045083">
      <w:bodyDiv w:val="1"/>
      <w:marLeft w:val="0"/>
      <w:marRight w:val="0"/>
      <w:marTop w:val="0"/>
      <w:marBottom w:val="0"/>
      <w:divBdr>
        <w:top w:val="none" w:sz="0" w:space="0" w:color="auto"/>
        <w:left w:val="none" w:sz="0" w:space="0" w:color="auto"/>
        <w:bottom w:val="none" w:sz="0" w:space="0" w:color="auto"/>
        <w:right w:val="none" w:sz="0" w:space="0" w:color="auto"/>
      </w:divBdr>
    </w:div>
    <w:div w:id="1490826101">
      <w:bodyDiv w:val="1"/>
      <w:marLeft w:val="0"/>
      <w:marRight w:val="0"/>
      <w:marTop w:val="0"/>
      <w:marBottom w:val="0"/>
      <w:divBdr>
        <w:top w:val="none" w:sz="0" w:space="0" w:color="auto"/>
        <w:left w:val="none" w:sz="0" w:space="0" w:color="auto"/>
        <w:bottom w:val="none" w:sz="0" w:space="0" w:color="auto"/>
        <w:right w:val="none" w:sz="0" w:space="0" w:color="auto"/>
      </w:divBdr>
    </w:div>
    <w:div w:id="1505365135">
      <w:bodyDiv w:val="1"/>
      <w:marLeft w:val="0"/>
      <w:marRight w:val="0"/>
      <w:marTop w:val="0"/>
      <w:marBottom w:val="0"/>
      <w:divBdr>
        <w:top w:val="none" w:sz="0" w:space="0" w:color="auto"/>
        <w:left w:val="none" w:sz="0" w:space="0" w:color="auto"/>
        <w:bottom w:val="none" w:sz="0" w:space="0" w:color="auto"/>
        <w:right w:val="none" w:sz="0" w:space="0" w:color="auto"/>
      </w:divBdr>
    </w:div>
    <w:div w:id="1515071356">
      <w:bodyDiv w:val="1"/>
      <w:marLeft w:val="0"/>
      <w:marRight w:val="0"/>
      <w:marTop w:val="0"/>
      <w:marBottom w:val="0"/>
      <w:divBdr>
        <w:top w:val="none" w:sz="0" w:space="0" w:color="auto"/>
        <w:left w:val="none" w:sz="0" w:space="0" w:color="auto"/>
        <w:bottom w:val="none" w:sz="0" w:space="0" w:color="auto"/>
        <w:right w:val="none" w:sz="0" w:space="0" w:color="auto"/>
      </w:divBdr>
    </w:div>
    <w:div w:id="1525748732">
      <w:bodyDiv w:val="1"/>
      <w:marLeft w:val="0"/>
      <w:marRight w:val="0"/>
      <w:marTop w:val="0"/>
      <w:marBottom w:val="0"/>
      <w:divBdr>
        <w:top w:val="none" w:sz="0" w:space="0" w:color="auto"/>
        <w:left w:val="none" w:sz="0" w:space="0" w:color="auto"/>
        <w:bottom w:val="none" w:sz="0" w:space="0" w:color="auto"/>
        <w:right w:val="none" w:sz="0" w:space="0" w:color="auto"/>
      </w:divBdr>
    </w:div>
    <w:div w:id="1527333314">
      <w:bodyDiv w:val="1"/>
      <w:marLeft w:val="0"/>
      <w:marRight w:val="0"/>
      <w:marTop w:val="0"/>
      <w:marBottom w:val="0"/>
      <w:divBdr>
        <w:top w:val="none" w:sz="0" w:space="0" w:color="auto"/>
        <w:left w:val="none" w:sz="0" w:space="0" w:color="auto"/>
        <w:bottom w:val="none" w:sz="0" w:space="0" w:color="auto"/>
        <w:right w:val="none" w:sz="0" w:space="0" w:color="auto"/>
      </w:divBdr>
    </w:div>
    <w:div w:id="1537544006">
      <w:bodyDiv w:val="1"/>
      <w:marLeft w:val="0"/>
      <w:marRight w:val="0"/>
      <w:marTop w:val="0"/>
      <w:marBottom w:val="0"/>
      <w:divBdr>
        <w:top w:val="none" w:sz="0" w:space="0" w:color="auto"/>
        <w:left w:val="none" w:sz="0" w:space="0" w:color="auto"/>
        <w:bottom w:val="none" w:sz="0" w:space="0" w:color="auto"/>
        <w:right w:val="none" w:sz="0" w:space="0" w:color="auto"/>
      </w:divBdr>
    </w:div>
    <w:div w:id="1537621267">
      <w:bodyDiv w:val="1"/>
      <w:marLeft w:val="0"/>
      <w:marRight w:val="0"/>
      <w:marTop w:val="0"/>
      <w:marBottom w:val="0"/>
      <w:divBdr>
        <w:top w:val="none" w:sz="0" w:space="0" w:color="auto"/>
        <w:left w:val="none" w:sz="0" w:space="0" w:color="auto"/>
        <w:bottom w:val="none" w:sz="0" w:space="0" w:color="auto"/>
        <w:right w:val="none" w:sz="0" w:space="0" w:color="auto"/>
      </w:divBdr>
    </w:div>
    <w:div w:id="1543636211">
      <w:bodyDiv w:val="1"/>
      <w:marLeft w:val="0"/>
      <w:marRight w:val="0"/>
      <w:marTop w:val="0"/>
      <w:marBottom w:val="0"/>
      <w:divBdr>
        <w:top w:val="none" w:sz="0" w:space="0" w:color="auto"/>
        <w:left w:val="none" w:sz="0" w:space="0" w:color="auto"/>
        <w:bottom w:val="none" w:sz="0" w:space="0" w:color="auto"/>
        <w:right w:val="none" w:sz="0" w:space="0" w:color="auto"/>
      </w:divBdr>
    </w:div>
    <w:div w:id="1561096283">
      <w:bodyDiv w:val="1"/>
      <w:marLeft w:val="0"/>
      <w:marRight w:val="0"/>
      <w:marTop w:val="0"/>
      <w:marBottom w:val="0"/>
      <w:divBdr>
        <w:top w:val="none" w:sz="0" w:space="0" w:color="auto"/>
        <w:left w:val="none" w:sz="0" w:space="0" w:color="auto"/>
        <w:bottom w:val="none" w:sz="0" w:space="0" w:color="auto"/>
        <w:right w:val="none" w:sz="0" w:space="0" w:color="auto"/>
      </w:divBdr>
      <w:divsChild>
        <w:div w:id="1404377111">
          <w:marLeft w:val="0"/>
          <w:marRight w:val="0"/>
          <w:marTop w:val="0"/>
          <w:marBottom w:val="0"/>
          <w:divBdr>
            <w:top w:val="none" w:sz="0" w:space="0" w:color="auto"/>
            <w:left w:val="none" w:sz="0" w:space="0" w:color="auto"/>
            <w:bottom w:val="none" w:sz="0" w:space="0" w:color="auto"/>
            <w:right w:val="none" w:sz="0" w:space="0" w:color="auto"/>
          </w:divBdr>
          <w:divsChild>
            <w:div w:id="1683043480">
              <w:marLeft w:val="0"/>
              <w:marRight w:val="0"/>
              <w:marTop w:val="0"/>
              <w:marBottom w:val="0"/>
              <w:divBdr>
                <w:top w:val="none" w:sz="0" w:space="0" w:color="auto"/>
                <w:left w:val="none" w:sz="0" w:space="0" w:color="auto"/>
                <w:bottom w:val="none" w:sz="0" w:space="0" w:color="auto"/>
                <w:right w:val="none" w:sz="0" w:space="0" w:color="auto"/>
              </w:divBdr>
              <w:divsChild>
                <w:div w:id="1583903901">
                  <w:marLeft w:val="0"/>
                  <w:marRight w:val="0"/>
                  <w:marTop w:val="0"/>
                  <w:marBottom w:val="0"/>
                  <w:divBdr>
                    <w:top w:val="none" w:sz="0" w:space="0" w:color="auto"/>
                    <w:left w:val="none" w:sz="0" w:space="0" w:color="auto"/>
                    <w:bottom w:val="none" w:sz="0" w:space="0" w:color="auto"/>
                    <w:right w:val="none" w:sz="0" w:space="0" w:color="auto"/>
                  </w:divBdr>
                  <w:divsChild>
                    <w:div w:id="2025085874">
                      <w:marLeft w:val="0"/>
                      <w:marRight w:val="0"/>
                      <w:marTop w:val="0"/>
                      <w:marBottom w:val="0"/>
                      <w:divBdr>
                        <w:top w:val="none" w:sz="0" w:space="0" w:color="auto"/>
                        <w:left w:val="none" w:sz="0" w:space="0" w:color="auto"/>
                        <w:bottom w:val="none" w:sz="0" w:space="0" w:color="auto"/>
                        <w:right w:val="none" w:sz="0" w:space="0" w:color="auto"/>
                      </w:divBdr>
                      <w:divsChild>
                        <w:div w:id="1842816943">
                          <w:marLeft w:val="0"/>
                          <w:marRight w:val="0"/>
                          <w:marTop w:val="0"/>
                          <w:marBottom w:val="0"/>
                          <w:divBdr>
                            <w:top w:val="none" w:sz="0" w:space="0" w:color="auto"/>
                            <w:left w:val="none" w:sz="0" w:space="0" w:color="auto"/>
                            <w:bottom w:val="none" w:sz="0" w:space="0" w:color="auto"/>
                            <w:right w:val="none" w:sz="0" w:space="0" w:color="auto"/>
                          </w:divBdr>
                          <w:divsChild>
                            <w:div w:id="100032295">
                              <w:marLeft w:val="-240"/>
                              <w:marRight w:val="-120"/>
                              <w:marTop w:val="0"/>
                              <w:marBottom w:val="0"/>
                              <w:divBdr>
                                <w:top w:val="none" w:sz="0" w:space="0" w:color="auto"/>
                                <w:left w:val="none" w:sz="0" w:space="0" w:color="auto"/>
                                <w:bottom w:val="none" w:sz="0" w:space="0" w:color="auto"/>
                                <w:right w:val="none" w:sz="0" w:space="0" w:color="auto"/>
                              </w:divBdr>
                              <w:divsChild>
                                <w:div w:id="787042867">
                                  <w:marLeft w:val="0"/>
                                  <w:marRight w:val="0"/>
                                  <w:marTop w:val="0"/>
                                  <w:marBottom w:val="60"/>
                                  <w:divBdr>
                                    <w:top w:val="none" w:sz="0" w:space="0" w:color="auto"/>
                                    <w:left w:val="none" w:sz="0" w:space="0" w:color="auto"/>
                                    <w:bottom w:val="none" w:sz="0" w:space="0" w:color="auto"/>
                                    <w:right w:val="none" w:sz="0" w:space="0" w:color="auto"/>
                                  </w:divBdr>
                                  <w:divsChild>
                                    <w:div w:id="400911582">
                                      <w:marLeft w:val="0"/>
                                      <w:marRight w:val="0"/>
                                      <w:marTop w:val="0"/>
                                      <w:marBottom w:val="0"/>
                                      <w:divBdr>
                                        <w:top w:val="none" w:sz="0" w:space="0" w:color="auto"/>
                                        <w:left w:val="none" w:sz="0" w:space="0" w:color="auto"/>
                                        <w:bottom w:val="none" w:sz="0" w:space="0" w:color="auto"/>
                                        <w:right w:val="none" w:sz="0" w:space="0" w:color="auto"/>
                                      </w:divBdr>
                                      <w:divsChild>
                                        <w:div w:id="1690375063">
                                          <w:marLeft w:val="0"/>
                                          <w:marRight w:val="0"/>
                                          <w:marTop w:val="0"/>
                                          <w:marBottom w:val="0"/>
                                          <w:divBdr>
                                            <w:top w:val="none" w:sz="0" w:space="0" w:color="auto"/>
                                            <w:left w:val="none" w:sz="0" w:space="0" w:color="auto"/>
                                            <w:bottom w:val="none" w:sz="0" w:space="0" w:color="auto"/>
                                            <w:right w:val="none" w:sz="0" w:space="0" w:color="auto"/>
                                          </w:divBdr>
                                          <w:divsChild>
                                            <w:div w:id="840437373">
                                              <w:marLeft w:val="0"/>
                                              <w:marRight w:val="0"/>
                                              <w:marTop w:val="0"/>
                                              <w:marBottom w:val="0"/>
                                              <w:divBdr>
                                                <w:top w:val="none" w:sz="0" w:space="0" w:color="auto"/>
                                                <w:left w:val="none" w:sz="0" w:space="0" w:color="auto"/>
                                                <w:bottom w:val="none" w:sz="0" w:space="0" w:color="auto"/>
                                                <w:right w:val="none" w:sz="0" w:space="0" w:color="auto"/>
                                              </w:divBdr>
                                              <w:divsChild>
                                                <w:div w:id="153380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195130">
          <w:marLeft w:val="0"/>
          <w:marRight w:val="0"/>
          <w:marTop w:val="0"/>
          <w:marBottom w:val="0"/>
          <w:divBdr>
            <w:top w:val="none" w:sz="0" w:space="0" w:color="auto"/>
            <w:left w:val="none" w:sz="0" w:space="0" w:color="auto"/>
            <w:bottom w:val="none" w:sz="0" w:space="0" w:color="auto"/>
            <w:right w:val="none" w:sz="0" w:space="0" w:color="auto"/>
          </w:divBdr>
          <w:divsChild>
            <w:div w:id="306597070">
              <w:marLeft w:val="0"/>
              <w:marRight w:val="0"/>
              <w:marTop w:val="0"/>
              <w:marBottom w:val="0"/>
              <w:divBdr>
                <w:top w:val="none" w:sz="0" w:space="0" w:color="auto"/>
                <w:left w:val="none" w:sz="0" w:space="0" w:color="auto"/>
                <w:bottom w:val="none" w:sz="0" w:space="0" w:color="auto"/>
                <w:right w:val="none" w:sz="0" w:space="0" w:color="auto"/>
              </w:divBdr>
              <w:divsChild>
                <w:div w:id="1052845863">
                  <w:marLeft w:val="0"/>
                  <w:marRight w:val="0"/>
                  <w:marTop w:val="0"/>
                  <w:marBottom w:val="0"/>
                  <w:divBdr>
                    <w:top w:val="none" w:sz="0" w:space="0" w:color="auto"/>
                    <w:left w:val="none" w:sz="0" w:space="0" w:color="auto"/>
                    <w:bottom w:val="none" w:sz="0" w:space="0" w:color="auto"/>
                    <w:right w:val="none" w:sz="0" w:space="0" w:color="auto"/>
                  </w:divBdr>
                  <w:divsChild>
                    <w:div w:id="1448890302">
                      <w:marLeft w:val="0"/>
                      <w:marRight w:val="0"/>
                      <w:marTop w:val="0"/>
                      <w:marBottom w:val="0"/>
                      <w:divBdr>
                        <w:top w:val="none" w:sz="0" w:space="0" w:color="auto"/>
                        <w:left w:val="none" w:sz="0" w:space="0" w:color="auto"/>
                        <w:bottom w:val="none" w:sz="0" w:space="0" w:color="auto"/>
                        <w:right w:val="none" w:sz="0" w:space="0" w:color="auto"/>
                      </w:divBdr>
                      <w:divsChild>
                        <w:div w:id="1050615185">
                          <w:marLeft w:val="0"/>
                          <w:marRight w:val="0"/>
                          <w:marTop w:val="0"/>
                          <w:marBottom w:val="0"/>
                          <w:divBdr>
                            <w:top w:val="none" w:sz="0" w:space="0" w:color="auto"/>
                            <w:left w:val="none" w:sz="0" w:space="0" w:color="auto"/>
                            <w:bottom w:val="none" w:sz="0" w:space="0" w:color="auto"/>
                            <w:right w:val="none" w:sz="0" w:space="0" w:color="auto"/>
                          </w:divBdr>
                          <w:divsChild>
                            <w:div w:id="92091556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8685265">
      <w:bodyDiv w:val="1"/>
      <w:marLeft w:val="0"/>
      <w:marRight w:val="0"/>
      <w:marTop w:val="0"/>
      <w:marBottom w:val="0"/>
      <w:divBdr>
        <w:top w:val="none" w:sz="0" w:space="0" w:color="auto"/>
        <w:left w:val="none" w:sz="0" w:space="0" w:color="auto"/>
        <w:bottom w:val="none" w:sz="0" w:space="0" w:color="auto"/>
        <w:right w:val="none" w:sz="0" w:space="0" w:color="auto"/>
      </w:divBdr>
    </w:div>
    <w:div w:id="1570656694">
      <w:bodyDiv w:val="1"/>
      <w:marLeft w:val="0"/>
      <w:marRight w:val="0"/>
      <w:marTop w:val="0"/>
      <w:marBottom w:val="0"/>
      <w:divBdr>
        <w:top w:val="none" w:sz="0" w:space="0" w:color="auto"/>
        <w:left w:val="none" w:sz="0" w:space="0" w:color="auto"/>
        <w:bottom w:val="none" w:sz="0" w:space="0" w:color="auto"/>
        <w:right w:val="none" w:sz="0" w:space="0" w:color="auto"/>
      </w:divBdr>
    </w:div>
    <w:div w:id="1604147167">
      <w:bodyDiv w:val="1"/>
      <w:marLeft w:val="0"/>
      <w:marRight w:val="0"/>
      <w:marTop w:val="0"/>
      <w:marBottom w:val="0"/>
      <w:divBdr>
        <w:top w:val="none" w:sz="0" w:space="0" w:color="auto"/>
        <w:left w:val="none" w:sz="0" w:space="0" w:color="auto"/>
        <w:bottom w:val="none" w:sz="0" w:space="0" w:color="auto"/>
        <w:right w:val="none" w:sz="0" w:space="0" w:color="auto"/>
      </w:divBdr>
    </w:div>
    <w:div w:id="1606617887">
      <w:bodyDiv w:val="1"/>
      <w:marLeft w:val="0"/>
      <w:marRight w:val="0"/>
      <w:marTop w:val="0"/>
      <w:marBottom w:val="0"/>
      <w:divBdr>
        <w:top w:val="none" w:sz="0" w:space="0" w:color="auto"/>
        <w:left w:val="none" w:sz="0" w:space="0" w:color="auto"/>
        <w:bottom w:val="none" w:sz="0" w:space="0" w:color="auto"/>
        <w:right w:val="none" w:sz="0" w:space="0" w:color="auto"/>
      </w:divBdr>
    </w:div>
    <w:div w:id="1617565144">
      <w:bodyDiv w:val="1"/>
      <w:marLeft w:val="0"/>
      <w:marRight w:val="0"/>
      <w:marTop w:val="0"/>
      <w:marBottom w:val="0"/>
      <w:divBdr>
        <w:top w:val="none" w:sz="0" w:space="0" w:color="auto"/>
        <w:left w:val="none" w:sz="0" w:space="0" w:color="auto"/>
        <w:bottom w:val="none" w:sz="0" w:space="0" w:color="auto"/>
        <w:right w:val="none" w:sz="0" w:space="0" w:color="auto"/>
      </w:divBdr>
    </w:div>
    <w:div w:id="1619335751">
      <w:bodyDiv w:val="1"/>
      <w:marLeft w:val="0"/>
      <w:marRight w:val="0"/>
      <w:marTop w:val="0"/>
      <w:marBottom w:val="0"/>
      <w:divBdr>
        <w:top w:val="none" w:sz="0" w:space="0" w:color="auto"/>
        <w:left w:val="none" w:sz="0" w:space="0" w:color="auto"/>
        <w:bottom w:val="none" w:sz="0" w:space="0" w:color="auto"/>
        <w:right w:val="none" w:sz="0" w:space="0" w:color="auto"/>
      </w:divBdr>
    </w:div>
    <w:div w:id="1625039533">
      <w:bodyDiv w:val="1"/>
      <w:marLeft w:val="0"/>
      <w:marRight w:val="0"/>
      <w:marTop w:val="0"/>
      <w:marBottom w:val="0"/>
      <w:divBdr>
        <w:top w:val="none" w:sz="0" w:space="0" w:color="auto"/>
        <w:left w:val="none" w:sz="0" w:space="0" w:color="auto"/>
        <w:bottom w:val="none" w:sz="0" w:space="0" w:color="auto"/>
        <w:right w:val="none" w:sz="0" w:space="0" w:color="auto"/>
      </w:divBdr>
    </w:div>
    <w:div w:id="1631788904">
      <w:bodyDiv w:val="1"/>
      <w:marLeft w:val="0"/>
      <w:marRight w:val="0"/>
      <w:marTop w:val="0"/>
      <w:marBottom w:val="0"/>
      <w:divBdr>
        <w:top w:val="none" w:sz="0" w:space="0" w:color="auto"/>
        <w:left w:val="none" w:sz="0" w:space="0" w:color="auto"/>
        <w:bottom w:val="none" w:sz="0" w:space="0" w:color="auto"/>
        <w:right w:val="none" w:sz="0" w:space="0" w:color="auto"/>
      </w:divBdr>
    </w:div>
    <w:div w:id="1633050069">
      <w:bodyDiv w:val="1"/>
      <w:marLeft w:val="0"/>
      <w:marRight w:val="0"/>
      <w:marTop w:val="0"/>
      <w:marBottom w:val="0"/>
      <w:divBdr>
        <w:top w:val="none" w:sz="0" w:space="0" w:color="auto"/>
        <w:left w:val="none" w:sz="0" w:space="0" w:color="auto"/>
        <w:bottom w:val="none" w:sz="0" w:space="0" w:color="auto"/>
        <w:right w:val="none" w:sz="0" w:space="0" w:color="auto"/>
      </w:divBdr>
    </w:div>
    <w:div w:id="1642268482">
      <w:bodyDiv w:val="1"/>
      <w:marLeft w:val="0"/>
      <w:marRight w:val="0"/>
      <w:marTop w:val="0"/>
      <w:marBottom w:val="0"/>
      <w:divBdr>
        <w:top w:val="none" w:sz="0" w:space="0" w:color="auto"/>
        <w:left w:val="none" w:sz="0" w:space="0" w:color="auto"/>
        <w:bottom w:val="none" w:sz="0" w:space="0" w:color="auto"/>
        <w:right w:val="none" w:sz="0" w:space="0" w:color="auto"/>
      </w:divBdr>
    </w:div>
    <w:div w:id="1646743384">
      <w:bodyDiv w:val="1"/>
      <w:marLeft w:val="0"/>
      <w:marRight w:val="0"/>
      <w:marTop w:val="0"/>
      <w:marBottom w:val="0"/>
      <w:divBdr>
        <w:top w:val="none" w:sz="0" w:space="0" w:color="auto"/>
        <w:left w:val="none" w:sz="0" w:space="0" w:color="auto"/>
        <w:bottom w:val="none" w:sz="0" w:space="0" w:color="auto"/>
        <w:right w:val="none" w:sz="0" w:space="0" w:color="auto"/>
      </w:divBdr>
    </w:div>
    <w:div w:id="1650597586">
      <w:bodyDiv w:val="1"/>
      <w:marLeft w:val="0"/>
      <w:marRight w:val="0"/>
      <w:marTop w:val="0"/>
      <w:marBottom w:val="0"/>
      <w:divBdr>
        <w:top w:val="none" w:sz="0" w:space="0" w:color="auto"/>
        <w:left w:val="none" w:sz="0" w:space="0" w:color="auto"/>
        <w:bottom w:val="none" w:sz="0" w:space="0" w:color="auto"/>
        <w:right w:val="none" w:sz="0" w:space="0" w:color="auto"/>
      </w:divBdr>
    </w:div>
    <w:div w:id="1669481068">
      <w:bodyDiv w:val="1"/>
      <w:marLeft w:val="0"/>
      <w:marRight w:val="0"/>
      <w:marTop w:val="0"/>
      <w:marBottom w:val="0"/>
      <w:divBdr>
        <w:top w:val="none" w:sz="0" w:space="0" w:color="auto"/>
        <w:left w:val="none" w:sz="0" w:space="0" w:color="auto"/>
        <w:bottom w:val="none" w:sz="0" w:space="0" w:color="auto"/>
        <w:right w:val="none" w:sz="0" w:space="0" w:color="auto"/>
      </w:divBdr>
    </w:div>
    <w:div w:id="1689794745">
      <w:bodyDiv w:val="1"/>
      <w:marLeft w:val="0"/>
      <w:marRight w:val="0"/>
      <w:marTop w:val="0"/>
      <w:marBottom w:val="0"/>
      <w:divBdr>
        <w:top w:val="none" w:sz="0" w:space="0" w:color="auto"/>
        <w:left w:val="none" w:sz="0" w:space="0" w:color="auto"/>
        <w:bottom w:val="none" w:sz="0" w:space="0" w:color="auto"/>
        <w:right w:val="none" w:sz="0" w:space="0" w:color="auto"/>
      </w:divBdr>
    </w:div>
    <w:div w:id="1706641328">
      <w:bodyDiv w:val="1"/>
      <w:marLeft w:val="0"/>
      <w:marRight w:val="0"/>
      <w:marTop w:val="0"/>
      <w:marBottom w:val="0"/>
      <w:divBdr>
        <w:top w:val="none" w:sz="0" w:space="0" w:color="auto"/>
        <w:left w:val="none" w:sz="0" w:space="0" w:color="auto"/>
        <w:bottom w:val="none" w:sz="0" w:space="0" w:color="auto"/>
        <w:right w:val="none" w:sz="0" w:space="0" w:color="auto"/>
      </w:divBdr>
    </w:div>
    <w:div w:id="1727801001">
      <w:bodyDiv w:val="1"/>
      <w:marLeft w:val="0"/>
      <w:marRight w:val="0"/>
      <w:marTop w:val="0"/>
      <w:marBottom w:val="0"/>
      <w:divBdr>
        <w:top w:val="none" w:sz="0" w:space="0" w:color="auto"/>
        <w:left w:val="none" w:sz="0" w:space="0" w:color="auto"/>
        <w:bottom w:val="none" w:sz="0" w:space="0" w:color="auto"/>
        <w:right w:val="none" w:sz="0" w:space="0" w:color="auto"/>
      </w:divBdr>
    </w:div>
    <w:div w:id="1728413686">
      <w:bodyDiv w:val="1"/>
      <w:marLeft w:val="0"/>
      <w:marRight w:val="0"/>
      <w:marTop w:val="0"/>
      <w:marBottom w:val="0"/>
      <w:divBdr>
        <w:top w:val="none" w:sz="0" w:space="0" w:color="auto"/>
        <w:left w:val="none" w:sz="0" w:space="0" w:color="auto"/>
        <w:bottom w:val="none" w:sz="0" w:space="0" w:color="auto"/>
        <w:right w:val="none" w:sz="0" w:space="0" w:color="auto"/>
      </w:divBdr>
    </w:div>
    <w:div w:id="1745420699">
      <w:bodyDiv w:val="1"/>
      <w:marLeft w:val="0"/>
      <w:marRight w:val="0"/>
      <w:marTop w:val="0"/>
      <w:marBottom w:val="0"/>
      <w:divBdr>
        <w:top w:val="none" w:sz="0" w:space="0" w:color="auto"/>
        <w:left w:val="none" w:sz="0" w:space="0" w:color="auto"/>
        <w:bottom w:val="none" w:sz="0" w:space="0" w:color="auto"/>
        <w:right w:val="none" w:sz="0" w:space="0" w:color="auto"/>
      </w:divBdr>
    </w:div>
    <w:div w:id="1756635211">
      <w:bodyDiv w:val="1"/>
      <w:marLeft w:val="0"/>
      <w:marRight w:val="0"/>
      <w:marTop w:val="0"/>
      <w:marBottom w:val="0"/>
      <w:divBdr>
        <w:top w:val="none" w:sz="0" w:space="0" w:color="auto"/>
        <w:left w:val="none" w:sz="0" w:space="0" w:color="auto"/>
        <w:bottom w:val="none" w:sz="0" w:space="0" w:color="auto"/>
        <w:right w:val="none" w:sz="0" w:space="0" w:color="auto"/>
      </w:divBdr>
    </w:div>
    <w:div w:id="1765415423">
      <w:bodyDiv w:val="1"/>
      <w:marLeft w:val="0"/>
      <w:marRight w:val="0"/>
      <w:marTop w:val="0"/>
      <w:marBottom w:val="0"/>
      <w:divBdr>
        <w:top w:val="none" w:sz="0" w:space="0" w:color="auto"/>
        <w:left w:val="none" w:sz="0" w:space="0" w:color="auto"/>
        <w:bottom w:val="none" w:sz="0" w:space="0" w:color="auto"/>
        <w:right w:val="none" w:sz="0" w:space="0" w:color="auto"/>
      </w:divBdr>
    </w:div>
    <w:div w:id="1783767065">
      <w:bodyDiv w:val="1"/>
      <w:marLeft w:val="0"/>
      <w:marRight w:val="0"/>
      <w:marTop w:val="0"/>
      <w:marBottom w:val="0"/>
      <w:divBdr>
        <w:top w:val="none" w:sz="0" w:space="0" w:color="auto"/>
        <w:left w:val="none" w:sz="0" w:space="0" w:color="auto"/>
        <w:bottom w:val="none" w:sz="0" w:space="0" w:color="auto"/>
        <w:right w:val="none" w:sz="0" w:space="0" w:color="auto"/>
      </w:divBdr>
    </w:div>
    <w:div w:id="1787650397">
      <w:bodyDiv w:val="1"/>
      <w:marLeft w:val="0"/>
      <w:marRight w:val="0"/>
      <w:marTop w:val="0"/>
      <w:marBottom w:val="0"/>
      <w:divBdr>
        <w:top w:val="none" w:sz="0" w:space="0" w:color="auto"/>
        <w:left w:val="none" w:sz="0" w:space="0" w:color="auto"/>
        <w:bottom w:val="none" w:sz="0" w:space="0" w:color="auto"/>
        <w:right w:val="none" w:sz="0" w:space="0" w:color="auto"/>
      </w:divBdr>
    </w:div>
    <w:div w:id="1838762535">
      <w:bodyDiv w:val="1"/>
      <w:marLeft w:val="0"/>
      <w:marRight w:val="0"/>
      <w:marTop w:val="0"/>
      <w:marBottom w:val="0"/>
      <w:divBdr>
        <w:top w:val="none" w:sz="0" w:space="0" w:color="auto"/>
        <w:left w:val="none" w:sz="0" w:space="0" w:color="auto"/>
        <w:bottom w:val="none" w:sz="0" w:space="0" w:color="auto"/>
        <w:right w:val="none" w:sz="0" w:space="0" w:color="auto"/>
      </w:divBdr>
    </w:div>
    <w:div w:id="1866944421">
      <w:bodyDiv w:val="1"/>
      <w:marLeft w:val="0"/>
      <w:marRight w:val="0"/>
      <w:marTop w:val="0"/>
      <w:marBottom w:val="0"/>
      <w:divBdr>
        <w:top w:val="none" w:sz="0" w:space="0" w:color="auto"/>
        <w:left w:val="none" w:sz="0" w:space="0" w:color="auto"/>
        <w:bottom w:val="none" w:sz="0" w:space="0" w:color="auto"/>
        <w:right w:val="none" w:sz="0" w:space="0" w:color="auto"/>
      </w:divBdr>
    </w:div>
    <w:div w:id="1880194248">
      <w:bodyDiv w:val="1"/>
      <w:marLeft w:val="0"/>
      <w:marRight w:val="0"/>
      <w:marTop w:val="0"/>
      <w:marBottom w:val="0"/>
      <w:divBdr>
        <w:top w:val="none" w:sz="0" w:space="0" w:color="auto"/>
        <w:left w:val="none" w:sz="0" w:space="0" w:color="auto"/>
        <w:bottom w:val="none" w:sz="0" w:space="0" w:color="auto"/>
        <w:right w:val="none" w:sz="0" w:space="0" w:color="auto"/>
      </w:divBdr>
    </w:div>
    <w:div w:id="1887832551">
      <w:bodyDiv w:val="1"/>
      <w:marLeft w:val="0"/>
      <w:marRight w:val="0"/>
      <w:marTop w:val="0"/>
      <w:marBottom w:val="0"/>
      <w:divBdr>
        <w:top w:val="none" w:sz="0" w:space="0" w:color="auto"/>
        <w:left w:val="none" w:sz="0" w:space="0" w:color="auto"/>
        <w:bottom w:val="none" w:sz="0" w:space="0" w:color="auto"/>
        <w:right w:val="none" w:sz="0" w:space="0" w:color="auto"/>
      </w:divBdr>
    </w:div>
    <w:div w:id="1895655188">
      <w:bodyDiv w:val="1"/>
      <w:marLeft w:val="0"/>
      <w:marRight w:val="0"/>
      <w:marTop w:val="0"/>
      <w:marBottom w:val="0"/>
      <w:divBdr>
        <w:top w:val="none" w:sz="0" w:space="0" w:color="auto"/>
        <w:left w:val="none" w:sz="0" w:space="0" w:color="auto"/>
        <w:bottom w:val="none" w:sz="0" w:space="0" w:color="auto"/>
        <w:right w:val="none" w:sz="0" w:space="0" w:color="auto"/>
      </w:divBdr>
    </w:div>
    <w:div w:id="1933393713">
      <w:bodyDiv w:val="1"/>
      <w:marLeft w:val="0"/>
      <w:marRight w:val="0"/>
      <w:marTop w:val="0"/>
      <w:marBottom w:val="0"/>
      <w:divBdr>
        <w:top w:val="none" w:sz="0" w:space="0" w:color="auto"/>
        <w:left w:val="none" w:sz="0" w:space="0" w:color="auto"/>
        <w:bottom w:val="none" w:sz="0" w:space="0" w:color="auto"/>
        <w:right w:val="none" w:sz="0" w:space="0" w:color="auto"/>
      </w:divBdr>
    </w:div>
    <w:div w:id="1943687261">
      <w:bodyDiv w:val="1"/>
      <w:marLeft w:val="0"/>
      <w:marRight w:val="0"/>
      <w:marTop w:val="0"/>
      <w:marBottom w:val="0"/>
      <w:divBdr>
        <w:top w:val="none" w:sz="0" w:space="0" w:color="auto"/>
        <w:left w:val="none" w:sz="0" w:space="0" w:color="auto"/>
        <w:bottom w:val="none" w:sz="0" w:space="0" w:color="auto"/>
        <w:right w:val="none" w:sz="0" w:space="0" w:color="auto"/>
      </w:divBdr>
    </w:div>
    <w:div w:id="1949312557">
      <w:bodyDiv w:val="1"/>
      <w:marLeft w:val="0"/>
      <w:marRight w:val="0"/>
      <w:marTop w:val="0"/>
      <w:marBottom w:val="0"/>
      <w:divBdr>
        <w:top w:val="none" w:sz="0" w:space="0" w:color="auto"/>
        <w:left w:val="none" w:sz="0" w:space="0" w:color="auto"/>
        <w:bottom w:val="none" w:sz="0" w:space="0" w:color="auto"/>
        <w:right w:val="none" w:sz="0" w:space="0" w:color="auto"/>
      </w:divBdr>
    </w:div>
    <w:div w:id="1966807459">
      <w:bodyDiv w:val="1"/>
      <w:marLeft w:val="0"/>
      <w:marRight w:val="0"/>
      <w:marTop w:val="0"/>
      <w:marBottom w:val="0"/>
      <w:divBdr>
        <w:top w:val="none" w:sz="0" w:space="0" w:color="auto"/>
        <w:left w:val="none" w:sz="0" w:space="0" w:color="auto"/>
        <w:bottom w:val="none" w:sz="0" w:space="0" w:color="auto"/>
        <w:right w:val="none" w:sz="0" w:space="0" w:color="auto"/>
      </w:divBdr>
    </w:div>
    <w:div w:id="1974674792">
      <w:bodyDiv w:val="1"/>
      <w:marLeft w:val="0"/>
      <w:marRight w:val="0"/>
      <w:marTop w:val="0"/>
      <w:marBottom w:val="0"/>
      <w:divBdr>
        <w:top w:val="none" w:sz="0" w:space="0" w:color="auto"/>
        <w:left w:val="none" w:sz="0" w:space="0" w:color="auto"/>
        <w:bottom w:val="none" w:sz="0" w:space="0" w:color="auto"/>
        <w:right w:val="none" w:sz="0" w:space="0" w:color="auto"/>
      </w:divBdr>
    </w:div>
    <w:div w:id="1990859701">
      <w:bodyDiv w:val="1"/>
      <w:marLeft w:val="0"/>
      <w:marRight w:val="0"/>
      <w:marTop w:val="0"/>
      <w:marBottom w:val="0"/>
      <w:divBdr>
        <w:top w:val="none" w:sz="0" w:space="0" w:color="auto"/>
        <w:left w:val="none" w:sz="0" w:space="0" w:color="auto"/>
        <w:bottom w:val="none" w:sz="0" w:space="0" w:color="auto"/>
        <w:right w:val="none" w:sz="0" w:space="0" w:color="auto"/>
      </w:divBdr>
    </w:div>
    <w:div w:id="2002732895">
      <w:bodyDiv w:val="1"/>
      <w:marLeft w:val="0"/>
      <w:marRight w:val="0"/>
      <w:marTop w:val="0"/>
      <w:marBottom w:val="0"/>
      <w:divBdr>
        <w:top w:val="none" w:sz="0" w:space="0" w:color="auto"/>
        <w:left w:val="none" w:sz="0" w:space="0" w:color="auto"/>
        <w:bottom w:val="none" w:sz="0" w:space="0" w:color="auto"/>
        <w:right w:val="none" w:sz="0" w:space="0" w:color="auto"/>
      </w:divBdr>
    </w:div>
    <w:div w:id="2008482331">
      <w:bodyDiv w:val="1"/>
      <w:marLeft w:val="0"/>
      <w:marRight w:val="0"/>
      <w:marTop w:val="0"/>
      <w:marBottom w:val="0"/>
      <w:divBdr>
        <w:top w:val="none" w:sz="0" w:space="0" w:color="auto"/>
        <w:left w:val="none" w:sz="0" w:space="0" w:color="auto"/>
        <w:bottom w:val="none" w:sz="0" w:space="0" w:color="auto"/>
        <w:right w:val="none" w:sz="0" w:space="0" w:color="auto"/>
      </w:divBdr>
      <w:divsChild>
        <w:div w:id="569465867">
          <w:marLeft w:val="0"/>
          <w:marRight w:val="0"/>
          <w:marTop w:val="0"/>
          <w:marBottom w:val="0"/>
          <w:divBdr>
            <w:top w:val="none" w:sz="0" w:space="0" w:color="auto"/>
            <w:left w:val="none" w:sz="0" w:space="0" w:color="auto"/>
            <w:bottom w:val="none" w:sz="0" w:space="0" w:color="auto"/>
            <w:right w:val="none" w:sz="0" w:space="0" w:color="auto"/>
          </w:divBdr>
          <w:divsChild>
            <w:div w:id="1998924086">
              <w:marLeft w:val="0"/>
              <w:marRight w:val="0"/>
              <w:marTop w:val="0"/>
              <w:marBottom w:val="0"/>
              <w:divBdr>
                <w:top w:val="none" w:sz="0" w:space="0" w:color="auto"/>
                <w:left w:val="none" w:sz="0" w:space="0" w:color="auto"/>
                <w:bottom w:val="none" w:sz="0" w:space="0" w:color="auto"/>
                <w:right w:val="none" w:sz="0" w:space="0" w:color="auto"/>
              </w:divBdr>
              <w:divsChild>
                <w:div w:id="1949584406">
                  <w:marLeft w:val="0"/>
                  <w:marRight w:val="0"/>
                  <w:marTop w:val="0"/>
                  <w:marBottom w:val="0"/>
                  <w:divBdr>
                    <w:top w:val="none" w:sz="0" w:space="0" w:color="auto"/>
                    <w:left w:val="none" w:sz="0" w:space="0" w:color="auto"/>
                    <w:bottom w:val="none" w:sz="0" w:space="0" w:color="auto"/>
                    <w:right w:val="none" w:sz="0" w:space="0" w:color="auto"/>
                  </w:divBdr>
                  <w:divsChild>
                    <w:div w:id="1088575994">
                      <w:marLeft w:val="0"/>
                      <w:marRight w:val="0"/>
                      <w:marTop w:val="0"/>
                      <w:marBottom w:val="0"/>
                      <w:divBdr>
                        <w:top w:val="none" w:sz="0" w:space="0" w:color="auto"/>
                        <w:left w:val="none" w:sz="0" w:space="0" w:color="auto"/>
                        <w:bottom w:val="none" w:sz="0" w:space="0" w:color="auto"/>
                        <w:right w:val="none" w:sz="0" w:space="0" w:color="auto"/>
                      </w:divBdr>
                      <w:divsChild>
                        <w:div w:id="1014191258">
                          <w:marLeft w:val="0"/>
                          <w:marRight w:val="0"/>
                          <w:marTop w:val="0"/>
                          <w:marBottom w:val="0"/>
                          <w:divBdr>
                            <w:top w:val="none" w:sz="0" w:space="0" w:color="auto"/>
                            <w:left w:val="none" w:sz="0" w:space="0" w:color="auto"/>
                            <w:bottom w:val="none" w:sz="0" w:space="0" w:color="auto"/>
                            <w:right w:val="none" w:sz="0" w:space="0" w:color="auto"/>
                          </w:divBdr>
                          <w:divsChild>
                            <w:div w:id="1418400504">
                              <w:marLeft w:val="-240"/>
                              <w:marRight w:val="-120"/>
                              <w:marTop w:val="0"/>
                              <w:marBottom w:val="0"/>
                              <w:divBdr>
                                <w:top w:val="none" w:sz="0" w:space="0" w:color="auto"/>
                                <w:left w:val="none" w:sz="0" w:space="0" w:color="auto"/>
                                <w:bottom w:val="none" w:sz="0" w:space="0" w:color="auto"/>
                                <w:right w:val="none" w:sz="0" w:space="0" w:color="auto"/>
                              </w:divBdr>
                              <w:divsChild>
                                <w:div w:id="624849256">
                                  <w:marLeft w:val="0"/>
                                  <w:marRight w:val="0"/>
                                  <w:marTop w:val="0"/>
                                  <w:marBottom w:val="60"/>
                                  <w:divBdr>
                                    <w:top w:val="none" w:sz="0" w:space="0" w:color="auto"/>
                                    <w:left w:val="none" w:sz="0" w:space="0" w:color="auto"/>
                                    <w:bottom w:val="none" w:sz="0" w:space="0" w:color="auto"/>
                                    <w:right w:val="none" w:sz="0" w:space="0" w:color="auto"/>
                                  </w:divBdr>
                                  <w:divsChild>
                                    <w:div w:id="1031995937">
                                      <w:marLeft w:val="0"/>
                                      <w:marRight w:val="0"/>
                                      <w:marTop w:val="0"/>
                                      <w:marBottom w:val="0"/>
                                      <w:divBdr>
                                        <w:top w:val="none" w:sz="0" w:space="0" w:color="auto"/>
                                        <w:left w:val="none" w:sz="0" w:space="0" w:color="auto"/>
                                        <w:bottom w:val="none" w:sz="0" w:space="0" w:color="auto"/>
                                        <w:right w:val="none" w:sz="0" w:space="0" w:color="auto"/>
                                      </w:divBdr>
                                      <w:divsChild>
                                        <w:div w:id="1270164708">
                                          <w:marLeft w:val="0"/>
                                          <w:marRight w:val="0"/>
                                          <w:marTop w:val="0"/>
                                          <w:marBottom w:val="0"/>
                                          <w:divBdr>
                                            <w:top w:val="none" w:sz="0" w:space="0" w:color="auto"/>
                                            <w:left w:val="none" w:sz="0" w:space="0" w:color="auto"/>
                                            <w:bottom w:val="none" w:sz="0" w:space="0" w:color="auto"/>
                                            <w:right w:val="none" w:sz="0" w:space="0" w:color="auto"/>
                                          </w:divBdr>
                                          <w:divsChild>
                                            <w:div w:id="1090394359">
                                              <w:marLeft w:val="0"/>
                                              <w:marRight w:val="0"/>
                                              <w:marTop w:val="0"/>
                                              <w:marBottom w:val="0"/>
                                              <w:divBdr>
                                                <w:top w:val="none" w:sz="0" w:space="0" w:color="auto"/>
                                                <w:left w:val="none" w:sz="0" w:space="0" w:color="auto"/>
                                                <w:bottom w:val="none" w:sz="0" w:space="0" w:color="auto"/>
                                                <w:right w:val="none" w:sz="0" w:space="0" w:color="auto"/>
                                              </w:divBdr>
                                              <w:divsChild>
                                                <w:div w:id="12505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6640318">
          <w:marLeft w:val="0"/>
          <w:marRight w:val="0"/>
          <w:marTop w:val="0"/>
          <w:marBottom w:val="0"/>
          <w:divBdr>
            <w:top w:val="none" w:sz="0" w:space="0" w:color="auto"/>
            <w:left w:val="none" w:sz="0" w:space="0" w:color="auto"/>
            <w:bottom w:val="none" w:sz="0" w:space="0" w:color="auto"/>
            <w:right w:val="none" w:sz="0" w:space="0" w:color="auto"/>
          </w:divBdr>
          <w:divsChild>
            <w:div w:id="1332489382">
              <w:marLeft w:val="0"/>
              <w:marRight w:val="0"/>
              <w:marTop w:val="0"/>
              <w:marBottom w:val="0"/>
              <w:divBdr>
                <w:top w:val="none" w:sz="0" w:space="0" w:color="auto"/>
                <w:left w:val="none" w:sz="0" w:space="0" w:color="auto"/>
                <w:bottom w:val="none" w:sz="0" w:space="0" w:color="auto"/>
                <w:right w:val="none" w:sz="0" w:space="0" w:color="auto"/>
              </w:divBdr>
              <w:divsChild>
                <w:div w:id="1226337626">
                  <w:marLeft w:val="0"/>
                  <w:marRight w:val="0"/>
                  <w:marTop w:val="0"/>
                  <w:marBottom w:val="0"/>
                  <w:divBdr>
                    <w:top w:val="none" w:sz="0" w:space="0" w:color="auto"/>
                    <w:left w:val="none" w:sz="0" w:space="0" w:color="auto"/>
                    <w:bottom w:val="none" w:sz="0" w:space="0" w:color="auto"/>
                    <w:right w:val="none" w:sz="0" w:space="0" w:color="auto"/>
                  </w:divBdr>
                  <w:divsChild>
                    <w:div w:id="854924415">
                      <w:marLeft w:val="0"/>
                      <w:marRight w:val="0"/>
                      <w:marTop w:val="0"/>
                      <w:marBottom w:val="0"/>
                      <w:divBdr>
                        <w:top w:val="none" w:sz="0" w:space="0" w:color="auto"/>
                        <w:left w:val="none" w:sz="0" w:space="0" w:color="auto"/>
                        <w:bottom w:val="none" w:sz="0" w:space="0" w:color="auto"/>
                        <w:right w:val="none" w:sz="0" w:space="0" w:color="auto"/>
                      </w:divBdr>
                      <w:divsChild>
                        <w:div w:id="873422279">
                          <w:marLeft w:val="0"/>
                          <w:marRight w:val="0"/>
                          <w:marTop w:val="0"/>
                          <w:marBottom w:val="0"/>
                          <w:divBdr>
                            <w:top w:val="none" w:sz="0" w:space="0" w:color="auto"/>
                            <w:left w:val="none" w:sz="0" w:space="0" w:color="auto"/>
                            <w:bottom w:val="none" w:sz="0" w:space="0" w:color="auto"/>
                            <w:right w:val="none" w:sz="0" w:space="0" w:color="auto"/>
                          </w:divBdr>
                          <w:divsChild>
                            <w:div w:id="108757644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9551695">
      <w:bodyDiv w:val="1"/>
      <w:marLeft w:val="0"/>
      <w:marRight w:val="0"/>
      <w:marTop w:val="0"/>
      <w:marBottom w:val="0"/>
      <w:divBdr>
        <w:top w:val="none" w:sz="0" w:space="0" w:color="auto"/>
        <w:left w:val="none" w:sz="0" w:space="0" w:color="auto"/>
        <w:bottom w:val="none" w:sz="0" w:space="0" w:color="auto"/>
        <w:right w:val="none" w:sz="0" w:space="0" w:color="auto"/>
      </w:divBdr>
    </w:div>
    <w:div w:id="2042701078">
      <w:bodyDiv w:val="1"/>
      <w:marLeft w:val="0"/>
      <w:marRight w:val="0"/>
      <w:marTop w:val="0"/>
      <w:marBottom w:val="0"/>
      <w:divBdr>
        <w:top w:val="none" w:sz="0" w:space="0" w:color="auto"/>
        <w:left w:val="none" w:sz="0" w:space="0" w:color="auto"/>
        <w:bottom w:val="none" w:sz="0" w:space="0" w:color="auto"/>
        <w:right w:val="none" w:sz="0" w:space="0" w:color="auto"/>
      </w:divBdr>
    </w:div>
    <w:div w:id="2084834986">
      <w:bodyDiv w:val="1"/>
      <w:marLeft w:val="0"/>
      <w:marRight w:val="0"/>
      <w:marTop w:val="0"/>
      <w:marBottom w:val="0"/>
      <w:divBdr>
        <w:top w:val="none" w:sz="0" w:space="0" w:color="auto"/>
        <w:left w:val="none" w:sz="0" w:space="0" w:color="auto"/>
        <w:bottom w:val="none" w:sz="0" w:space="0" w:color="auto"/>
        <w:right w:val="none" w:sz="0" w:space="0" w:color="auto"/>
      </w:divBdr>
    </w:div>
    <w:div w:id="2102526242">
      <w:bodyDiv w:val="1"/>
      <w:marLeft w:val="0"/>
      <w:marRight w:val="0"/>
      <w:marTop w:val="0"/>
      <w:marBottom w:val="0"/>
      <w:divBdr>
        <w:top w:val="none" w:sz="0" w:space="0" w:color="auto"/>
        <w:left w:val="none" w:sz="0" w:space="0" w:color="auto"/>
        <w:bottom w:val="none" w:sz="0" w:space="0" w:color="auto"/>
        <w:right w:val="none" w:sz="0" w:space="0" w:color="auto"/>
      </w:divBdr>
    </w:div>
    <w:div w:id="2119370183">
      <w:bodyDiv w:val="1"/>
      <w:marLeft w:val="0"/>
      <w:marRight w:val="0"/>
      <w:marTop w:val="0"/>
      <w:marBottom w:val="0"/>
      <w:divBdr>
        <w:top w:val="none" w:sz="0" w:space="0" w:color="auto"/>
        <w:left w:val="none" w:sz="0" w:space="0" w:color="auto"/>
        <w:bottom w:val="none" w:sz="0" w:space="0" w:color="auto"/>
        <w:right w:val="none" w:sz="0" w:space="0" w:color="auto"/>
      </w:divBdr>
    </w:div>
    <w:div w:id="2123109070">
      <w:bodyDiv w:val="1"/>
      <w:marLeft w:val="0"/>
      <w:marRight w:val="0"/>
      <w:marTop w:val="0"/>
      <w:marBottom w:val="0"/>
      <w:divBdr>
        <w:top w:val="none" w:sz="0" w:space="0" w:color="auto"/>
        <w:left w:val="none" w:sz="0" w:space="0" w:color="auto"/>
        <w:bottom w:val="none" w:sz="0" w:space="0" w:color="auto"/>
        <w:right w:val="none" w:sz="0" w:space="0" w:color="auto"/>
      </w:divBdr>
    </w:div>
    <w:div w:id="2124574657">
      <w:bodyDiv w:val="1"/>
      <w:marLeft w:val="0"/>
      <w:marRight w:val="0"/>
      <w:marTop w:val="0"/>
      <w:marBottom w:val="0"/>
      <w:divBdr>
        <w:top w:val="none" w:sz="0" w:space="0" w:color="auto"/>
        <w:left w:val="none" w:sz="0" w:space="0" w:color="auto"/>
        <w:bottom w:val="none" w:sz="0" w:space="0" w:color="auto"/>
        <w:right w:val="none" w:sz="0" w:space="0" w:color="auto"/>
      </w:divBdr>
    </w:div>
    <w:div w:id="2130125251">
      <w:bodyDiv w:val="1"/>
      <w:marLeft w:val="0"/>
      <w:marRight w:val="0"/>
      <w:marTop w:val="0"/>
      <w:marBottom w:val="0"/>
      <w:divBdr>
        <w:top w:val="none" w:sz="0" w:space="0" w:color="auto"/>
        <w:left w:val="none" w:sz="0" w:space="0" w:color="auto"/>
        <w:bottom w:val="none" w:sz="0" w:space="0" w:color="auto"/>
        <w:right w:val="none" w:sz="0" w:space="0" w:color="auto"/>
      </w:divBdr>
    </w:div>
    <w:div w:id="213683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13" Target="footer2.xml" Type="http://schemas.openxmlformats.org/officeDocument/2006/relationships/footer" /><Relationship Id="rId12" Target="footer1.xml" Type="http://schemas.openxmlformats.org/officeDocument/2006/relationships/footer" /><Relationship Id="rId11" Target="header1.xml" Type="http://schemas.openxmlformats.org/officeDocument/2006/relationships/header" /><Relationship Type="http://schemas.openxmlformats.org/officeDocument/2006/relationships/image" Id="rId45" Target="media/rId45.png" /><Relationship Type="http://schemas.openxmlformats.org/officeDocument/2006/relationships/hyperlink" Id="rId28" Target="Source:%20wikipedia.org" TargetMode="External" /><Relationship Type="http://schemas.openxmlformats.org/officeDocument/2006/relationships/hyperlink" Id="rId57" Target="https://africacenter.org/spotlight/mig2025-militant-islamist-groups-in-africa/" TargetMode="External" /><Relationship Type="http://schemas.openxmlformats.org/officeDocument/2006/relationships/hyperlink" Id="rId58" Target="https://criticalthreats.org/analysis/jnim-alqaeda-issp-isis-niger" TargetMode="External" /><Relationship Type="http://schemas.openxmlformats.org/officeDocument/2006/relationships/hyperlink" Id="rId73" Target="https://danger.mongabay.com/survival/afm/13-03.html" TargetMode="External" /><Relationship Type="http://schemas.openxmlformats.org/officeDocument/2006/relationships/hyperlink" Id="rId42" Target="https://en.wikipedia.org/wiki/Aguenar_%E2%80%93_Hadj_Bey_Akhamok_Airport" TargetMode="External" /><Relationship Type="http://schemas.openxmlformats.org/officeDocument/2006/relationships/hyperlink" Id="rId36" Target="https://en.wikipedia.org/wiki/Circles_of_latitude_between_the_20th_parallel_north_and_the_25th_parallel_north" TargetMode="External" /><Relationship Type="http://schemas.openxmlformats.org/officeDocument/2006/relationships/hyperlink" Id="rId37" Target="https://en.wikipedia.org/wiki/Sahara" TargetMode="External" /><Relationship Type="http://schemas.openxmlformats.org/officeDocument/2006/relationships/hyperlink" Id="rId30" Target="https://en.wikivoyage.org/wiki/w:Djanet_Inedbirene_Airport" TargetMode="External" /><Relationship Type="http://schemas.openxmlformats.org/officeDocument/2006/relationships/hyperlink" Id="rId38" Target="https://kids.britannica.com/scholars/article/Sahara/108296" TargetMode="External" /><Relationship Type="http://schemas.openxmlformats.org/officeDocument/2006/relationships/hyperlink" Id="rId49" Target="https://libya.iom.int/crisis-response" TargetMode="External" /><Relationship Type="http://schemas.openxmlformats.org/officeDocument/2006/relationships/hyperlink" Id="rId33" Target="https://libyaherald.com/2026/07/southern-liberation-operations-room-slor-attacks-checkpoint-in-libyas-deep-south" TargetMode="External" /><Relationship Type="http://schemas.openxmlformats.org/officeDocument/2006/relationships/hyperlink" Id="rId54" Target="https://link.springer.com/chapter/10.1007/978-3-642-25835-0_4" TargetMode="External" /><Relationship Type="http://schemas.openxmlformats.org/officeDocument/2006/relationships/hyperlink" Id="rId24" Target="https://metar-taf.com/airport/DAAT" TargetMode="External" /><Relationship Type="http://schemas.openxmlformats.org/officeDocument/2006/relationships/hyperlink" Id="rId41" Target="https://metar-taf.com/airport/DATM-bordj-badji-mokhtar-airport" TargetMode="External" /><Relationship Type="http://schemas.openxmlformats.org/officeDocument/2006/relationships/hyperlink" Id="rId25" Target="https://metar-taf.com/airport/GATS" TargetMode="External" /><Relationship Type="http://schemas.openxmlformats.org/officeDocument/2006/relationships/hyperlink" Id="rId23" Target="https://metar-taf.com/airport/HLKF" TargetMode="External" /><Relationship Type="http://schemas.openxmlformats.org/officeDocument/2006/relationships/hyperlink" Id="rId27" Target="https://metar-taf.com/airport/MR-0011-bir-moghrein-airport" TargetMode="External" /><Relationship Type="http://schemas.openxmlformats.org/officeDocument/2006/relationships/hyperlink" Id="rId50" Target="https://news.un.org/en/story/2017/08/563012" TargetMode="External" /><Relationship Type="http://schemas.openxmlformats.org/officeDocument/2006/relationships/hyperlink" Id="rId64" Target="https://osac.gov/Country/Chad/Content/Detail/Report/a35d55c6-965a-4348-a952-1c8666a3d417" TargetMode="External" /><Relationship Type="http://schemas.openxmlformats.org/officeDocument/2006/relationships/hyperlink" Id="rId26" Target="https://planemapper.com/airports/OUZ" TargetMode="External" /><Relationship Type="http://schemas.openxmlformats.org/officeDocument/2006/relationships/hyperlink" Id="rId72" Target="https://sahara-overland.com/2015/10/03/desert-travelling-geographical-magazine-2001/" TargetMode="External" /><Relationship Type="http://schemas.openxmlformats.org/officeDocument/2006/relationships/hyperlink" Id="rId52" Target="https://skybrary.aero/articles/search-and-rescue-sar" TargetMode="External" /><Relationship Type="http://schemas.openxmlformats.org/officeDocument/2006/relationships/hyperlink" Id="rId22" Target="https://skyvector.com/airport/HESN/Aswan-Airport" TargetMode="External" /><Relationship Type="http://schemas.openxmlformats.org/officeDocument/2006/relationships/hyperlink" Id="rId60" Target="https://the-monitor.org/country-profile/chad/impact" TargetMode="External" /><Relationship Type="http://schemas.openxmlformats.org/officeDocument/2006/relationships/hyperlink" Id="rId63" Target="https://travel.gc.ca/destinations/chad" TargetMode="External" /><Relationship Type="http://schemas.openxmlformats.org/officeDocument/2006/relationships/hyperlink" Id="rId62" Target="https://travel.state.gov/content/travel/en/traveladvisories/traveladvisories/algeria-travel-advisory.html" TargetMode="External" /><Relationship Type="http://schemas.openxmlformats.org/officeDocument/2006/relationships/hyperlink" Id="rId34" Target="https://unmc.unmissions.org/en/minurso/mine-action" TargetMode="External" /><Relationship Type="http://schemas.openxmlformats.org/officeDocument/2006/relationships/hyperlink" Id="rId69" Target="https://www.adventures.net.au/road-trips/across-australia/operations-plan" TargetMode="External" /><Relationship Type="http://schemas.openxmlformats.org/officeDocument/2006/relationships/hyperlink" Id="rId32" Target="https://www.criticalthreats.org/analysis/fall-of-northern-mali-jnim-fla-offensive-russia-issp-camara" TargetMode="External" /><Relationship Type="http://schemas.openxmlformats.org/officeDocument/2006/relationships/hyperlink" Id="rId67" Target="https://www.garmin.com/en-US/blog/outdoor/why-should-i-buy-a-garmin-satellite-communicator/" TargetMode="External" /><Relationship Type="http://schemas.openxmlformats.org/officeDocument/2006/relationships/hyperlink" Id="rId56" Target="https://www.gov.uk/government/publications/libya-country-policy-and-information-notes/country-policy-and-information-note-security-situation-libya-april-2025-accessible" TargetMode="External" /><Relationship Type="http://schemas.openxmlformats.org/officeDocument/2006/relationships/hyperlink" Id="rId53" Target="https://www.icao.int/sites/default/files/postalhistory/asecna_agence_pour_la_securite_de_la_navigation_aerienne.htm" TargetMode="External" /><Relationship Type="http://schemas.openxmlformats.org/officeDocument/2006/relationships/hyperlink" Id="rId51" Target="https://www.idiaspora.org/index.php/en/projects/safety-support-and-solution-ii" TargetMode="External" /><Relationship Type="http://schemas.openxmlformats.org/officeDocument/2006/relationships/hyperlink" Id="rId31" Target="https://www.iom.int/news/close-20000-migrants-rescued-sahara-desert-beginning-operations" TargetMode="External" /><Relationship Type="http://schemas.openxmlformats.org/officeDocument/2006/relationships/hyperlink" Id="rId59" Target="https://www.middleeastmonitor.com/20241105-444m-square-metres-of-land-in-libya-contaminated-by-landmines-un-warns/" TargetMode="External" /><Relationship Type="http://schemas.openxmlformats.org/officeDocument/2006/relationships/hyperlink" Id="rId68" Target="https://www.outfittersatellite.com/pages/acr-knowledge-hub" TargetMode="External" /><Relationship Type="http://schemas.openxmlformats.org/officeDocument/2006/relationships/hyperlink" Id="rId43" Target="https://www.wikiwand.com/en/Maaten_al-Sarra_Air_Base" TargetMode="External" /><Relationship Type="http://schemas.openxmlformats.org/officeDocument/2006/relationships/hyperlink" Id="rId40" Target="https://www.wikiwand.com/en/Zougra_Airport" TargetMode="External" /><Relationship Type="http://schemas.openxmlformats.org/officeDocument/2006/relationships/hyperlink" Id="rId29" Target="https://www.world-airport-codes.com/libya/matan-al-sarra-air-base-65497.html" TargetMode="External"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Relationships xmlns="http://schemas.openxmlformats.org/package/2006/relationships"><Relationship Type="http://schemas.openxmlformats.org/officeDocument/2006/relationships/hyperlink" Id="rId28" Target="Source:%20wikipedia.org" TargetMode="External" /><Relationship Type="http://schemas.openxmlformats.org/officeDocument/2006/relationships/hyperlink" Id="rId57" Target="https://africacenter.org/spotlight/mig2025-militant-islamist-groups-in-africa/" TargetMode="External" /><Relationship Type="http://schemas.openxmlformats.org/officeDocument/2006/relationships/hyperlink" Id="rId58" Target="https://criticalthreats.org/analysis/jnim-alqaeda-issp-isis-niger" TargetMode="External" /><Relationship Type="http://schemas.openxmlformats.org/officeDocument/2006/relationships/hyperlink" Id="rId73" Target="https://danger.mongabay.com/survival/afm/13-03.html" TargetMode="External" /><Relationship Type="http://schemas.openxmlformats.org/officeDocument/2006/relationships/hyperlink" Id="rId42" Target="https://en.wikipedia.org/wiki/Aguenar_%E2%80%93_Hadj_Bey_Akhamok_Airport" TargetMode="External" /><Relationship Type="http://schemas.openxmlformats.org/officeDocument/2006/relationships/hyperlink" Id="rId36" Target="https://en.wikipedia.org/wiki/Circles_of_latitude_between_the_20th_parallel_north_and_the_25th_parallel_north" TargetMode="External" /><Relationship Type="http://schemas.openxmlformats.org/officeDocument/2006/relationships/hyperlink" Id="rId37" Target="https://en.wikipedia.org/wiki/Sahara" TargetMode="External" /><Relationship Type="http://schemas.openxmlformats.org/officeDocument/2006/relationships/hyperlink" Id="rId30" Target="https://en.wikivoyage.org/wiki/w:Djanet_Inedbirene_Airport" TargetMode="External" /><Relationship Type="http://schemas.openxmlformats.org/officeDocument/2006/relationships/hyperlink" Id="rId38" Target="https://kids.britannica.com/scholars/article/Sahara/108296" TargetMode="External" /><Relationship Type="http://schemas.openxmlformats.org/officeDocument/2006/relationships/hyperlink" Id="rId49" Target="https://libya.iom.int/crisis-response" TargetMode="External" /><Relationship Type="http://schemas.openxmlformats.org/officeDocument/2006/relationships/hyperlink" Id="rId33" Target="https://libyaherald.com/2026/07/southern-liberation-operations-room-slor-attacks-checkpoint-in-libyas-deep-south" TargetMode="External" /><Relationship Type="http://schemas.openxmlformats.org/officeDocument/2006/relationships/hyperlink" Id="rId54" Target="https://link.springer.com/chapter/10.1007/978-3-642-25835-0_4" TargetMode="External" /><Relationship Type="http://schemas.openxmlformats.org/officeDocument/2006/relationships/hyperlink" Id="rId24" Target="https://metar-taf.com/airport/DAAT" TargetMode="External" /><Relationship Type="http://schemas.openxmlformats.org/officeDocument/2006/relationships/hyperlink" Id="rId41" Target="https://metar-taf.com/airport/DATM-bordj-badji-mokhtar-airport" TargetMode="External" /><Relationship Type="http://schemas.openxmlformats.org/officeDocument/2006/relationships/hyperlink" Id="rId25" Target="https://metar-taf.com/airport/GATS" TargetMode="External" /><Relationship Type="http://schemas.openxmlformats.org/officeDocument/2006/relationships/hyperlink" Id="rId23" Target="https://metar-taf.com/airport/HLKF" TargetMode="External" /><Relationship Type="http://schemas.openxmlformats.org/officeDocument/2006/relationships/hyperlink" Id="rId27" Target="https://metar-taf.com/airport/MR-0011-bir-moghrein-airport" TargetMode="External" /><Relationship Type="http://schemas.openxmlformats.org/officeDocument/2006/relationships/hyperlink" Id="rId50" Target="https://news.un.org/en/story/2017/08/563012" TargetMode="External" /><Relationship Type="http://schemas.openxmlformats.org/officeDocument/2006/relationships/hyperlink" Id="rId64" Target="https://osac.gov/Country/Chad/Content/Detail/Report/a35d55c6-965a-4348-a952-1c8666a3d417" TargetMode="External" /><Relationship Type="http://schemas.openxmlformats.org/officeDocument/2006/relationships/hyperlink" Id="rId26" Target="https://planemapper.com/airports/OUZ" TargetMode="External" /><Relationship Type="http://schemas.openxmlformats.org/officeDocument/2006/relationships/hyperlink" Id="rId72" Target="https://sahara-overland.com/2015/10/03/desert-travelling-geographical-magazine-2001/" TargetMode="External" /><Relationship Type="http://schemas.openxmlformats.org/officeDocument/2006/relationships/hyperlink" Id="rId52" Target="https://skybrary.aero/articles/search-and-rescue-sar" TargetMode="External" /><Relationship Type="http://schemas.openxmlformats.org/officeDocument/2006/relationships/hyperlink" Id="rId22" Target="https://skyvector.com/airport/HESN/Aswan-Airport" TargetMode="External" /><Relationship Type="http://schemas.openxmlformats.org/officeDocument/2006/relationships/hyperlink" Id="rId60" Target="https://the-monitor.org/country-profile/chad/impact" TargetMode="External" /><Relationship Type="http://schemas.openxmlformats.org/officeDocument/2006/relationships/hyperlink" Id="rId63" Target="https://travel.gc.ca/destinations/chad" TargetMode="External" /><Relationship Type="http://schemas.openxmlformats.org/officeDocument/2006/relationships/hyperlink" Id="rId62" Target="https://travel.state.gov/content/travel/en/traveladvisories/traveladvisories/algeria-travel-advisory.html" TargetMode="External" /><Relationship Type="http://schemas.openxmlformats.org/officeDocument/2006/relationships/hyperlink" Id="rId34" Target="https://unmc.unmissions.org/en/minurso/mine-action" TargetMode="External" /><Relationship Type="http://schemas.openxmlformats.org/officeDocument/2006/relationships/hyperlink" Id="rId69" Target="https://www.adventures.net.au/road-trips/across-australia/operations-plan" TargetMode="External" /><Relationship Type="http://schemas.openxmlformats.org/officeDocument/2006/relationships/hyperlink" Id="rId32" Target="https://www.criticalthreats.org/analysis/fall-of-northern-mali-jnim-fla-offensive-russia-issp-camara" TargetMode="External" /><Relationship Type="http://schemas.openxmlformats.org/officeDocument/2006/relationships/hyperlink" Id="rId67" Target="https://www.garmin.com/en-US/blog/outdoor/why-should-i-buy-a-garmin-satellite-communicator/" TargetMode="External" /><Relationship Type="http://schemas.openxmlformats.org/officeDocument/2006/relationships/hyperlink" Id="rId56" Target="https://www.gov.uk/government/publications/libya-country-policy-and-information-notes/country-policy-and-information-note-security-situation-libya-april-2025-accessible" TargetMode="External" /><Relationship Type="http://schemas.openxmlformats.org/officeDocument/2006/relationships/hyperlink" Id="rId53" Target="https://www.icao.int/sites/default/files/postalhistory/asecna_agence_pour_la_securite_de_la_navigation_aerienne.htm" TargetMode="External" /><Relationship Type="http://schemas.openxmlformats.org/officeDocument/2006/relationships/hyperlink" Id="rId51" Target="https://www.idiaspora.org/index.php/en/projects/safety-support-and-solution-ii" TargetMode="External" /><Relationship Type="http://schemas.openxmlformats.org/officeDocument/2006/relationships/hyperlink" Id="rId31" Target="https://www.iom.int/news/close-20000-migrants-rescued-sahara-desert-beginning-operations" TargetMode="External" /><Relationship Type="http://schemas.openxmlformats.org/officeDocument/2006/relationships/hyperlink" Id="rId59" Target="https://www.middleeastmonitor.com/20241105-444m-square-metres-of-land-in-libya-contaminated-by-landmines-un-warns/" TargetMode="External" /><Relationship Type="http://schemas.openxmlformats.org/officeDocument/2006/relationships/hyperlink" Id="rId68" Target="https://www.outfittersatellite.com/pages/acr-knowledge-hub" TargetMode="External" /><Relationship Type="http://schemas.openxmlformats.org/officeDocument/2006/relationships/hyperlink" Id="rId43" Target="https://www.wikiwand.com/en/Maaten_al-Sarra_Air_Base" TargetMode="External" /><Relationship Type="http://schemas.openxmlformats.org/officeDocument/2006/relationships/hyperlink" Id="rId40" Target="https://www.wikiwand.com/en/Zougra_Airport" TargetMode="External" /><Relationship Type="http://schemas.openxmlformats.org/officeDocument/2006/relationships/hyperlink" Id="rId29" Target="https://www.world-airport-codes.com/libya/matan-al-sarra-air-base-65497.html" TargetMode="External"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21</Words>
  <Characters>122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Amazon</Company>
  <LinksUpToDate>false</LinksUpToDate>
  <CharactersWithSpaces>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2026-07-16T08:44:52Z</dcterms:created>
  <dcterms:modified xsi:type="dcterms:W3CDTF">2026-07-16T08:44:52Z</dcterms:modified>
</cp:coreProperties>
</file>

<file path=docProps/custom.xml><?xml version="1.0" encoding="utf-8"?>
<Properties xmlns="http://schemas.openxmlformats.org/officeDocument/2006/custom-properties" xmlns:vt="http://schemas.openxmlformats.org/officeDocument/2006/docPropsVTypes"/>
</file>